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C5" w:rsidRPr="004469C5" w:rsidRDefault="009E1DEC" w:rsidP="004469C5">
      <w:pPr>
        <w:pStyle w:val="Textoindependiente"/>
        <w:ind w:firstLine="708"/>
        <w:rPr>
          <w:rFonts w:ascii="Calibri" w:hAnsi="Calibri" w:cs="Arial"/>
          <w:b/>
          <w:color w:val="AEAAAA" w:themeColor="background2" w:themeShade="BF"/>
          <w:sz w:val="26"/>
          <w:szCs w:val="27"/>
        </w:rPr>
      </w:pPr>
      <w:r w:rsidRPr="004469C5">
        <w:rPr>
          <w:rFonts w:ascii="Calibri" w:hAnsi="Calibri"/>
          <w:b/>
          <w:color w:val="AEAAAA" w:themeColor="background2" w:themeShade="BF"/>
          <w:sz w:val="26"/>
          <w:szCs w:val="27"/>
        </w:rPr>
        <w:t xml:space="preserve">León, Guanajuato, a </w:t>
      </w:r>
      <w:r w:rsidR="00A400F0" w:rsidRPr="004469C5">
        <w:rPr>
          <w:rFonts w:ascii="Calibri" w:hAnsi="Calibri"/>
          <w:b/>
          <w:color w:val="AEAAAA" w:themeColor="background2" w:themeShade="BF"/>
          <w:sz w:val="26"/>
          <w:szCs w:val="27"/>
        </w:rPr>
        <w:t>2</w:t>
      </w:r>
      <w:r w:rsidR="00B61E60">
        <w:rPr>
          <w:rFonts w:ascii="Calibri" w:hAnsi="Calibri"/>
          <w:b/>
          <w:color w:val="AEAAAA" w:themeColor="background2" w:themeShade="BF"/>
          <w:sz w:val="26"/>
          <w:szCs w:val="27"/>
        </w:rPr>
        <w:t>9</w:t>
      </w:r>
      <w:r w:rsidR="00A400F0" w:rsidRPr="004469C5">
        <w:rPr>
          <w:rFonts w:ascii="Calibri" w:hAnsi="Calibri"/>
          <w:b/>
          <w:color w:val="AEAAAA" w:themeColor="background2" w:themeShade="BF"/>
          <w:sz w:val="26"/>
          <w:szCs w:val="27"/>
        </w:rPr>
        <w:t xml:space="preserve"> veinti</w:t>
      </w:r>
      <w:r w:rsidR="00B61E60">
        <w:rPr>
          <w:rFonts w:ascii="Calibri" w:hAnsi="Calibri"/>
          <w:b/>
          <w:color w:val="AEAAAA" w:themeColor="background2" w:themeShade="BF"/>
          <w:sz w:val="26"/>
          <w:szCs w:val="27"/>
        </w:rPr>
        <w:t>nueve</w:t>
      </w:r>
      <w:r w:rsidRPr="004469C5">
        <w:rPr>
          <w:rFonts w:ascii="Calibri" w:hAnsi="Calibri"/>
          <w:b/>
          <w:color w:val="AEAAAA" w:themeColor="background2" w:themeShade="BF"/>
          <w:sz w:val="26"/>
          <w:szCs w:val="27"/>
        </w:rPr>
        <w:t xml:space="preserve"> de junio del año 2016 dos mil dieciséis. . . . .  </w:t>
      </w:r>
      <w:r w:rsidR="004469C5" w:rsidRPr="004469C5">
        <w:rPr>
          <w:rFonts w:ascii="Calibri" w:hAnsi="Calibri" w:cs="Arial"/>
          <w:b/>
          <w:color w:val="AEAAAA" w:themeColor="background2" w:themeShade="BF"/>
          <w:sz w:val="26"/>
          <w:szCs w:val="27"/>
        </w:rPr>
        <w:t xml:space="preserve">. . . . . . . . . . . . . . . . . . . . . . . . . . . . . . . . . . . . . . . . . . . </w:t>
      </w:r>
      <w:r w:rsidR="004469C5">
        <w:rPr>
          <w:rFonts w:ascii="Calibri" w:hAnsi="Calibri" w:cs="Arial"/>
          <w:b/>
          <w:color w:val="AEAAAA" w:themeColor="background2" w:themeShade="BF"/>
          <w:sz w:val="26"/>
          <w:szCs w:val="27"/>
        </w:rPr>
        <w:t xml:space="preserve">. . . . . . . . . . . . </w:t>
      </w:r>
    </w:p>
    <w:p w:rsidR="009E1DEC" w:rsidRPr="009E1DEC" w:rsidRDefault="009E1DEC" w:rsidP="009E1DEC">
      <w:pPr>
        <w:rPr>
          <w:rFonts w:ascii="Calibri" w:hAnsi="Calibri"/>
          <w:color w:val="AEAAAA" w:themeColor="background2" w:themeShade="BF"/>
          <w:sz w:val="22"/>
          <w:szCs w:val="27"/>
          <w:lang w:val="es-MX"/>
        </w:rPr>
      </w:pPr>
    </w:p>
    <w:p w:rsidR="009E1DEC" w:rsidRPr="009E1DEC" w:rsidRDefault="009E1DEC" w:rsidP="009E1DEC">
      <w:pPr>
        <w:pStyle w:val="Ttulo1"/>
        <w:ind w:firstLine="708"/>
        <w:jc w:val="both"/>
        <w:rPr>
          <w:rFonts w:ascii="Calibri" w:hAnsi="Calibri" w:cs="Arial"/>
          <w:color w:val="AEAAAA" w:themeColor="background2" w:themeShade="BF"/>
          <w:sz w:val="26"/>
          <w:szCs w:val="27"/>
        </w:rPr>
      </w:pPr>
      <w:r w:rsidRPr="009E1DEC">
        <w:rPr>
          <w:rFonts w:ascii="Calibri" w:hAnsi="Calibri" w:cs="Arial"/>
          <w:color w:val="AEAAAA" w:themeColor="background2" w:themeShade="BF"/>
          <w:sz w:val="26"/>
          <w:szCs w:val="27"/>
        </w:rPr>
        <w:t xml:space="preserve">V I S T O S </w:t>
      </w:r>
      <w:r w:rsidRPr="009E1DEC">
        <w:rPr>
          <w:rFonts w:ascii="Calibri" w:hAnsi="Calibri" w:cs="Arial"/>
          <w:b w:val="0"/>
          <w:i w:val="0"/>
          <w:color w:val="AEAAAA" w:themeColor="background2" w:themeShade="BF"/>
          <w:sz w:val="26"/>
          <w:szCs w:val="27"/>
        </w:rPr>
        <w:t xml:space="preserve">para dictar sentencia definitiva, los autos del proceso administrativo identificado con el número </w:t>
      </w:r>
      <w:r w:rsidRPr="009E1DEC">
        <w:rPr>
          <w:rFonts w:ascii="Calibri" w:hAnsi="Calibri" w:cs="Arial"/>
          <w:i w:val="0"/>
          <w:color w:val="AEAAAA" w:themeColor="background2" w:themeShade="BF"/>
          <w:sz w:val="26"/>
          <w:szCs w:val="27"/>
        </w:rPr>
        <w:t>5</w:t>
      </w:r>
      <w:r>
        <w:rPr>
          <w:rFonts w:ascii="Calibri" w:hAnsi="Calibri" w:cs="Arial"/>
          <w:i w:val="0"/>
          <w:color w:val="AEAAAA" w:themeColor="background2" w:themeShade="BF"/>
          <w:sz w:val="26"/>
          <w:szCs w:val="27"/>
        </w:rPr>
        <w:t>9</w:t>
      </w:r>
      <w:r w:rsidRPr="009E1DEC">
        <w:rPr>
          <w:rFonts w:ascii="Calibri" w:hAnsi="Calibri" w:cs="Arial"/>
          <w:i w:val="0"/>
          <w:color w:val="AEAAAA" w:themeColor="background2" w:themeShade="BF"/>
          <w:sz w:val="26"/>
          <w:szCs w:val="27"/>
        </w:rPr>
        <w:t>0/2014-JN</w:t>
      </w:r>
      <w:r w:rsidRPr="009E1DEC">
        <w:rPr>
          <w:rFonts w:ascii="Calibri" w:hAnsi="Calibri" w:cs="Arial"/>
          <w:b w:val="0"/>
          <w:i w:val="0"/>
          <w:color w:val="AEAAAA" w:themeColor="background2" w:themeShade="BF"/>
          <w:sz w:val="26"/>
          <w:szCs w:val="27"/>
        </w:rPr>
        <w:t xml:space="preserve">, promovido por el ciudadano </w:t>
      </w:r>
      <w:r w:rsidR="003E60FD">
        <w:rPr>
          <w:rFonts w:ascii="Calibri" w:hAnsi="Calibri" w:cs="Arial"/>
          <w:i w:val="0"/>
          <w:color w:val="AEAAAA" w:themeColor="background2" w:themeShade="BF"/>
          <w:sz w:val="26"/>
          <w:szCs w:val="27"/>
        </w:rPr>
        <w:t>*****</w:t>
      </w:r>
      <w:r w:rsidRPr="009E1DEC">
        <w:rPr>
          <w:rFonts w:ascii="Calibri" w:hAnsi="Calibri" w:cs="Arial"/>
          <w:color w:val="AEAAAA" w:themeColor="background2" w:themeShade="BF"/>
          <w:sz w:val="26"/>
          <w:szCs w:val="27"/>
        </w:rPr>
        <w:t xml:space="preserve">; y,. . . . . . . . . . . . . . . . . . . . . . . . . . . </w:t>
      </w:r>
      <w:r w:rsidR="00255E40">
        <w:rPr>
          <w:rFonts w:ascii="Calibri" w:hAnsi="Calibri" w:cs="Arial"/>
          <w:color w:val="AEAAAA" w:themeColor="background2" w:themeShade="BF"/>
          <w:sz w:val="26"/>
          <w:szCs w:val="27"/>
        </w:rPr>
        <w:t xml:space="preserve">. . . </w:t>
      </w:r>
    </w:p>
    <w:p w:rsidR="009E1DEC" w:rsidRPr="009E1DEC" w:rsidRDefault="009E1DEC" w:rsidP="009E1DEC">
      <w:pPr>
        <w:pStyle w:val="Textoindependiente"/>
        <w:rPr>
          <w:rFonts w:ascii="Calibri" w:hAnsi="Calibri" w:cs="Arial"/>
          <w:color w:val="AEAAAA" w:themeColor="background2" w:themeShade="BF"/>
          <w:sz w:val="22"/>
          <w:szCs w:val="27"/>
        </w:rPr>
      </w:pPr>
    </w:p>
    <w:p w:rsidR="009E1DEC" w:rsidRPr="009E1DEC" w:rsidRDefault="009E1DEC" w:rsidP="009E1DEC">
      <w:pPr>
        <w:ind w:firstLine="708"/>
        <w:jc w:val="both"/>
        <w:rPr>
          <w:rFonts w:ascii="Calibri" w:hAnsi="Calibri" w:cs="Arial"/>
          <w:color w:val="AEAAAA" w:themeColor="background2" w:themeShade="BF"/>
          <w:sz w:val="22"/>
          <w:szCs w:val="27"/>
        </w:rPr>
      </w:pPr>
    </w:p>
    <w:p w:rsidR="009E1DEC" w:rsidRPr="009E1DEC" w:rsidRDefault="009E1DEC" w:rsidP="009E1DEC">
      <w:pPr>
        <w:pStyle w:val="Textoindependiente"/>
        <w:ind w:firstLine="708"/>
        <w:jc w:val="center"/>
        <w:rPr>
          <w:rFonts w:ascii="Calibri" w:hAnsi="Calibri" w:cs="Arial"/>
          <w:b/>
          <w:bCs/>
          <w:i/>
          <w:iCs/>
          <w:color w:val="AEAAAA" w:themeColor="background2" w:themeShade="BF"/>
          <w:sz w:val="26"/>
          <w:szCs w:val="27"/>
        </w:rPr>
      </w:pPr>
      <w:r w:rsidRPr="009E1DEC">
        <w:rPr>
          <w:rFonts w:ascii="Calibri" w:hAnsi="Calibri" w:cs="Arial"/>
          <w:b/>
          <w:bCs/>
          <w:i/>
          <w:iCs/>
          <w:color w:val="AEAAAA" w:themeColor="background2" w:themeShade="BF"/>
          <w:sz w:val="26"/>
          <w:szCs w:val="27"/>
        </w:rPr>
        <w:t xml:space="preserve">C O N S I D E R A N D </w:t>
      </w:r>
      <w:proofErr w:type="gramStart"/>
      <w:r w:rsidRPr="009E1DEC">
        <w:rPr>
          <w:rFonts w:ascii="Calibri" w:hAnsi="Calibri" w:cs="Arial"/>
          <w:b/>
          <w:bCs/>
          <w:i/>
          <w:iCs/>
          <w:color w:val="AEAAAA" w:themeColor="background2" w:themeShade="BF"/>
          <w:sz w:val="26"/>
          <w:szCs w:val="27"/>
        </w:rPr>
        <w:t>O :</w:t>
      </w:r>
      <w:proofErr w:type="gramEnd"/>
    </w:p>
    <w:p w:rsidR="009E1DEC" w:rsidRPr="009E1DEC" w:rsidRDefault="009E1DEC" w:rsidP="009E1DEC">
      <w:pPr>
        <w:pStyle w:val="Textoindependiente"/>
        <w:ind w:firstLine="708"/>
        <w:jc w:val="center"/>
        <w:rPr>
          <w:rFonts w:ascii="Calibri" w:hAnsi="Calibri" w:cs="Arial"/>
          <w:b/>
          <w:bCs/>
          <w:color w:val="AEAAAA" w:themeColor="background2" w:themeShade="BF"/>
          <w:sz w:val="22"/>
          <w:szCs w:val="27"/>
        </w:rPr>
      </w:pPr>
    </w:p>
    <w:p w:rsidR="009E1DEC" w:rsidRPr="009E1DEC" w:rsidRDefault="009E1DEC" w:rsidP="009E1DEC">
      <w:pPr>
        <w:pStyle w:val="Textoindependiente"/>
        <w:jc w:val="right"/>
        <w:rPr>
          <w:rFonts w:ascii="Calibri" w:hAnsi="Calibri" w:cs="Arial"/>
          <w:b/>
          <w:bCs/>
          <w:color w:val="AEAAAA" w:themeColor="background2" w:themeShade="BF"/>
          <w:sz w:val="26"/>
          <w:szCs w:val="27"/>
        </w:rPr>
      </w:pPr>
      <w:bookmarkStart w:id="0" w:name="_GoBack"/>
      <w:bookmarkEnd w:id="0"/>
    </w:p>
    <w:p w:rsidR="009E1DEC" w:rsidRPr="004A5185" w:rsidRDefault="009E1DEC" w:rsidP="004A5185">
      <w:pPr>
        <w:pStyle w:val="Textoindependiente"/>
        <w:ind w:firstLine="708"/>
        <w:rPr>
          <w:rFonts w:ascii="Calibri" w:hAnsi="Calibri" w:cs="Arial"/>
          <w:color w:val="AEAAAA" w:themeColor="background2" w:themeShade="BF"/>
          <w:sz w:val="26"/>
          <w:szCs w:val="27"/>
        </w:rPr>
      </w:pPr>
      <w:r w:rsidRPr="009E1DEC">
        <w:rPr>
          <w:rFonts w:ascii="Calibri" w:hAnsi="Calibri" w:cs="Arial"/>
          <w:b/>
          <w:bCs/>
          <w:i/>
          <w:iCs/>
          <w:color w:val="AEAAAA" w:themeColor="background2" w:themeShade="BF"/>
          <w:sz w:val="26"/>
          <w:szCs w:val="27"/>
        </w:rPr>
        <w:t>SEGUNDO</w:t>
      </w:r>
      <w:r w:rsidRPr="009E1DEC">
        <w:rPr>
          <w:rFonts w:ascii="Calibri" w:hAnsi="Calibri" w:cs="Arial"/>
          <w:b/>
          <w:bCs/>
          <w:color w:val="AEAAAA" w:themeColor="background2" w:themeShade="BF"/>
          <w:sz w:val="26"/>
          <w:szCs w:val="27"/>
        </w:rPr>
        <w:t xml:space="preserve">.- </w:t>
      </w:r>
      <w:r w:rsidRPr="009E1DEC">
        <w:rPr>
          <w:rFonts w:ascii="Calibri" w:hAnsi="Calibri" w:cs="Arial"/>
          <w:color w:val="AEAAAA" w:themeColor="background2" w:themeShade="BF"/>
          <w:sz w:val="26"/>
          <w:szCs w:val="27"/>
        </w:rPr>
        <w:t xml:space="preserve">El presente proceso fue promovido oportunamente, toda vez que la demanda fue presentada dentro de los 30 treinta días hábiles siguientes a aquél en que le fueron notificados al actor, los actos impugnados; lo que refirió fue el día </w:t>
      </w:r>
      <w:r w:rsidR="004A5185">
        <w:rPr>
          <w:rFonts w:ascii="Calibri" w:hAnsi="Calibri" w:cs="Arial"/>
          <w:color w:val="AEAAAA" w:themeColor="background2" w:themeShade="BF"/>
          <w:sz w:val="26"/>
          <w:szCs w:val="27"/>
        </w:rPr>
        <w:t>20</w:t>
      </w:r>
      <w:r w:rsidRPr="009E1DEC">
        <w:rPr>
          <w:rFonts w:ascii="Calibri" w:hAnsi="Calibri" w:cs="Arial"/>
          <w:color w:val="AEAAAA" w:themeColor="background2" w:themeShade="BF"/>
          <w:sz w:val="26"/>
          <w:szCs w:val="27"/>
        </w:rPr>
        <w:t xml:space="preserve"> </w:t>
      </w:r>
      <w:r w:rsidR="004A5185">
        <w:rPr>
          <w:rFonts w:ascii="Calibri" w:hAnsi="Calibri" w:cs="Arial"/>
          <w:color w:val="AEAAAA" w:themeColor="background2" w:themeShade="BF"/>
          <w:sz w:val="26"/>
          <w:szCs w:val="27"/>
        </w:rPr>
        <w:t>v</w:t>
      </w:r>
      <w:r w:rsidRPr="009E1DEC">
        <w:rPr>
          <w:rFonts w:ascii="Calibri" w:hAnsi="Calibri" w:cs="Arial"/>
          <w:color w:val="AEAAAA" w:themeColor="background2" w:themeShade="BF"/>
          <w:sz w:val="26"/>
          <w:szCs w:val="27"/>
        </w:rPr>
        <w:t>e</w:t>
      </w:r>
      <w:r w:rsidR="004A5185">
        <w:rPr>
          <w:rFonts w:ascii="Calibri" w:hAnsi="Calibri" w:cs="Arial"/>
          <w:color w:val="AEAAAA" w:themeColor="background2" w:themeShade="BF"/>
          <w:sz w:val="26"/>
          <w:szCs w:val="27"/>
        </w:rPr>
        <w:t>inte</w:t>
      </w:r>
      <w:r w:rsidRPr="009E1DEC">
        <w:rPr>
          <w:rFonts w:ascii="Calibri" w:hAnsi="Calibri" w:cs="Arial"/>
          <w:color w:val="AEAAAA" w:themeColor="background2" w:themeShade="BF"/>
          <w:sz w:val="26"/>
          <w:szCs w:val="27"/>
        </w:rPr>
        <w:t xml:space="preserve"> de septiembre del año 2014 dos mil catorce, sin que de las constancias del presente expediente se desprenda lo contrario</w:t>
      </w:r>
      <w:r w:rsidRPr="009E1DEC">
        <w:rPr>
          <w:rFonts w:ascii="Calibri" w:hAnsi="Calibri"/>
          <w:color w:val="AEAAAA" w:themeColor="background2" w:themeShade="BF"/>
          <w:sz w:val="26"/>
          <w:szCs w:val="27"/>
        </w:rPr>
        <w:t>. . . . . . . . . . . . . . . .</w:t>
      </w:r>
      <w:r w:rsidR="00A17AF6">
        <w:rPr>
          <w:rFonts w:ascii="Calibri" w:hAnsi="Calibri"/>
          <w:color w:val="AEAAAA" w:themeColor="background2" w:themeShade="BF"/>
          <w:sz w:val="26"/>
          <w:szCs w:val="27"/>
        </w:rPr>
        <w:t xml:space="preserve"> </w:t>
      </w:r>
      <w:r w:rsidRPr="009E1DEC">
        <w:rPr>
          <w:rFonts w:ascii="Calibri" w:hAnsi="Calibri"/>
          <w:color w:val="AEAAAA" w:themeColor="background2" w:themeShade="BF"/>
          <w:sz w:val="26"/>
          <w:szCs w:val="27"/>
        </w:rPr>
        <w:t xml:space="preserve"> </w:t>
      </w:r>
    </w:p>
    <w:p w:rsidR="000118DF" w:rsidRDefault="000118DF" w:rsidP="000118DF">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590/2014-JN</w:t>
      </w:r>
    </w:p>
    <w:p w:rsidR="000118DF" w:rsidRPr="009E1DEC" w:rsidRDefault="000118DF" w:rsidP="009E1DEC">
      <w:pPr>
        <w:jc w:val="both"/>
        <w:rPr>
          <w:rFonts w:ascii="Calibri" w:hAnsi="Calibri"/>
          <w:b/>
          <w:i/>
          <w:iCs/>
          <w:color w:val="AEAAAA" w:themeColor="background2" w:themeShade="BF"/>
          <w:sz w:val="26"/>
          <w:szCs w:val="27"/>
          <w:lang w:val="es-MX"/>
        </w:rPr>
      </w:pPr>
    </w:p>
    <w:p w:rsidR="009E1DEC" w:rsidRPr="000118DF" w:rsidRDefault="009E1DEC" w:rsidP="000118DF">
      <w:pPr>
        <w:ind w:firstLine="708"/>
        <w:jc w:val="both"/>
        <w:rPr>
          <w:rFonts w:ascii="Calibri" w:hAnsi="Calibri"/>
          <w:color w:val="AEAAAA" w:themeColor="background2" w:themeShade="BF"/>
          <w:sz w:val="26"/>
          <w:szCs w:val="27"/>
        </w:rPr>
      </w:pPr>
      <w:r w:rsidRPr="009E1DEC">
        <w:rPr>
          <w:rFonts w:ascii="Calibri" w:hAnsi="Calibri"/>
          <w:b/>
          <w:i/>
          <w:iCs/>
          <w:color w:val="AEAAAA" w:themeColor="background2" w:themeShade="BF"/>
          <w:sz w:val="26"/>
          <w:szCs w:val="27"/>
        </w:rPr>
        <w:t xml:space="preserve">TERCERO.- </w:t>
      </w:r>
      <w:r w:rsidRPr="009E1DEC">
        <w:rPr>
          <w:rFonts w:ascii="Calibri" w:hAnsi="Calibri"/>
          <w:color w:val="AEAAAA" w:themeColor="background2" w:themeShade="BF"/>
          <w:sz w:val="26"/>
          <w:szCs w:val="27"/>
        </w:rPr>
        <w:t xml:space="preserve">La existencia de los actos impugnados en la presente causa administrativa, consistentes en el avalúo fiscal, donde se fijó un valor </w:t>
      </w:r>
      <w:r w:rsidR="00305A54">
        <w:rPr>
          <w:rFonts w:ascii="Calibri" w:hAnsi="Calibri"/>
          <w:color w:val="AEAAAA" w:themeColor="background2" w:themeShade="BF"/>
          <w:sz w:val="26"/>
          <w:szCs w:val="27"/>
        </w:rPr>
        <w:t>a</w:t>
      </w:r>
      <w:r w:rsidRPr="009E1DEC">
        <w:rPr>
          <w:rFonts w:ascii="Calibri" w:hAnsi="Calibri"/>
          <w:color w:val="AEAAAA" w:themeColor="background2" w:themeShade="BF"/>
          <w:sz w:val="26"/>
          <w:szCs w:val="27"/>
        </w:rPr>
        <w:t xml:space="preserve">l inmueble </w:t>
      </w:r>
      <w:r w:rsidR="008B6C0C">
        <w:rPr>
          <w:rFonts w:ascii="Calibri" w:hAnsi="Calibri"/>
          <w:color w:val="AEAAAA" w:themeColor="background2" w:themeShade="BF"/>
          <w:sz w:val="26"/>
          <w:szCs w:val="27"/>
        </w:rPr>
        <w:t xml:space="preserve">del que se dijo </w:t>
      </w:r>
      <w:r w:rsidR="00305A54">
        <w:rPr>
          <w:rFonts w:ascii="Calibri" w:hAnsi="Calibri"/>
          <w:color w:val="AEAAAA" w:themeColor="background2" w:themeShade="BF"/>
          <w:sz w:val="26"/>
          <w:szCs w:val="27"/>
        </w:rPr>
        <w:t>propie</w:t>
      </w:r>
      <w:r w:rsidR="008B6C0C">
        <w:rPr>
          <w:rFonts w:ascii="Calibri" w:hAnsi="Calibri"/>
          <w:color w:val="AEAAAA" w:themeColor="background2" w:themeShade="BF"/>
          <w:sz w:val="26"/>
          <w:szCs w:val="27"/>
        </w:rPr>
        <w:t xml:space="preserve">tario </w:t>
      </w:r>
      <w:r w:rsidR="00305A54">
        <w:rPr>
          <w:rFonts w:ascii="Calibri" w:hAnsi="Calibri"/>
          <w:color w:val="AEAAAA" w:themeColor="background2" w:themeShade="BF"/>
          <w:sz w:val="26"/>
          <w:szCs w:val="27"/>
        </w:rPr>
        <w:t xml:space="preserve">el actor </w:t>
      </w:r>
      <w:r w:rsidRPr="009E1DEC">
        <w:rPr>
          <w:rFonts w:ascii="Calibri" w:hAnsi="Calibri"/>
          <w:color w:val="AEAAAA" w:themeColor="background2" w:themeShade="BF"/>
          <w:sz w:val="26"/>
          <w:szCs w:val="27"/>
        </w:rPr>
        <w:t xml:space="preserve">y la fijación del impuesto predial </w:t>
      </w:r>
      <w:r w:rsidR="00305A54">
        <w:rPr>
          <w:rFonts w:ascii="Calibri" w:hAnsi="Calibri"/>
          <w:color w:val="AEAAAA" w:themeColor="background2" w:themeShade="BF"/>
          <w:sz w:val="26"/>
          <w:szCs w:val="27"/>
        </w:rPr>
        <w:t>correspondiente</w:t>
      </w:r>
      <w:r w:rsidR="008B6C0C">
        <w:rPr>
          <w:rFonts w:ascii="Calibri" w:hAnsi="Calibri"/>
          <w:color w:val="AEAAAA" w:themeColor="background2" w:themeShade="BF"/>
          <w:sz w:val="26"/>
          <w:szCs w:val="27"/>
        </w:rPr>
        <w:t>;</w:t>
      </w:r>
      <w:r w:rsidRPr="009E1DEC">
        <w:rPr>
          <w:rFonts w:ascii="Calibri" w:hAnsi="Calibri"/>
          <w:color w:val="AEAAAA" w:themeColor="background2" w:themeShade="BF"/>
          <w:sz w:val="26"/>
          <w:szCs w:val="27"/>
        </w:rPr>
        <w:t xml:space="preserve"> se encuentra acreditada con las documentales siguientes: el avalúo con número</w:t>
      </w:r>
      <w:r w:rsidR="00305A54">
        <w:rPr>
          <w:rFonts w:ascii="Calibri" w:hAnsi="Calibri"/>
          <w:color w:val="AEAAAA" w:themeColor="background2" w:themeShade="BF"/>
          <w:sz w:val="26"/>
          <w:szCs w:val="27"/>
        </w:rPr>
        <w:t xml:space="preserve"> de folio 225784 (doscientos veinticinco mil setecientos ochenta y cuatro); de fecha 4 cuatro de julio del año 2014 dos mi</w:t>
      </w:r>
      <w:r w:rsidR="008927F9">
        <w:rPr>
          <w:rFonts w:ascii="Calibri" w:hAnsi="Calibri"/>
          <w:color w:val="AEAAAA" w:themeColor="background2" w:themeShade="BF"/>
          <w:sz w:val="26"/>
          <w:szCs w:val="27"/>
        </w:rPr>
        <w:t>l catorce; por la cantidad de $</w:t>
      </w:r>
      <w:r w:rsidR="00305A54">
        <w:rPr>
          <w:rFonts w:ascii="Calibri" w:hAnsi="Calibri"/>
          <w:color w:val="AEAAAA" w:themeColor="background2" w:themeShade="BF"/>
          <w:sz w:val="26"/>
          <w:szCs w:val="27"/>
        </w:rPr>
        <w:t xml:space="preserve">516,194.42 </w:t>
      </w:r>
      <w:r w:rsidR="008927F9">
        <w:rPr>
          <w:rFonts w:ascii="Calibri" w:hAnsi="Calibri"/>
          <w:color w:val="AEAAAA" w:themeColor="background2" w:themeShade="BF"/>
          <w:sz w:val="26"/>
          <w:szCs w:val="27"/>
        </w:rPr>
        <w:t>(</w:t>
      </w:r>
      <w:r w:rsidR="00305A54">
        <w:rPr>
          <w:rFonts w:ascii="Calibri" w:hAnsi="Calibri"/>
          <w:color w:val="AEAAAA" w:themeColor="background2" w:themeShade="BF"/>
          <w:sz w:val="26"/>
          <w:szCs w:val="27"/>
        </w:rPr>
        <w:t>Quinientos dieciséis mil ciento noventa y cuatro</w:t>
      </w:r>
      <w:r w:rsidR="008B6C0C">
        <w:rPr>
          <w:rFonts w:ascii="Calibri" w:hAnsi="Calibri"/>
          <w:color w:val="AEAAAA" w:themeColor="background2" w:themeShade="BF"/>
          <w:sz w:val="26"/>
          <w:szCs w:val="27"/>
        </w:rPr>
        <w:t xml:space="preserve"> pesos</w:t>
      </w:r>
      <w:r w:rsidR="00305A54">
        <w:rPr>
          <w:rFonts w:ascii="Calibri" w:hAnsi="Calibri"/>
          <w:color w:val="AEAAAA" w:themeColor="background2" w:themeShade="BF"/>
          <w:sz w:val="26"/>
          <w:szCs w:val="27"/>
        </w:rPr>
        <w:t xml:space="preserve"> 42/100 Moneda Nacional); </w:t>
      </w:r>
      <w:r w:rsidRPr="009E1DEC">
        <w:rPr>
          <w:rFonts w:ascii="Calibri" w:hAnsi="Calibri"/>
          <w:color w:val="AEAAAA" w:themeColor="background2" w:themeShade="BF"/>
          <w:sz w:val="26"/>
          <w:szCs w:val="27"/>
        </w:rPr>
        <w:t xml:space="preserve">elaborado </w:t>
      </w:r>
      <w:r w:rsidR="00305A54">
        <w:rPr>
          <w:rFonts w:ascii="Calibri" w:hAnsi="Calibri"/>
          <w:color w:val="AEAAAA" w:themeColor="background2" w:themeShade="BF"/>
          <w:sz w:val="26"/>
          <w:szCs w:val="27"/>
        </w:rPr>
        <w:t xml:space="preserve">por la perito Edith Guadalupe Pérez Moreno </w:t>
      </w:r>
      <w:r w:rsidRPr="009E1DEC">
        <w:rPr>
          <w:rFonts w:ascii="Calibri" w:hAnsi="Calibri"/>
          <w:color w:val="AEAAAA" w:themeColor="background2" w:themeShade="BF"/>
          <w:sz w:val="26"/>
          <w:szCs w:val="27"/>
        </w:rPr>
        <w:t>y</w:t>
      </w:r>
      <w:r w:rsidR="00305A54">
        <w:rPr>
          <w:rFonts w:ascii="Calibri" w:hAnsi="Calibri"/>
          <w:color w:val="AEAAAA" w:themeColor="background2" w:themeShade="BF"/>
          <w:sz w:val="26"/>
          <w:szCs w:val="27"/>
        </w:rPr>
        <w:t xml:space="preserve"> autoriz</w:t>
      </w:r>
      <w:r w:rsidRPr="009E1DEC">
        <w:rPr>
          <w:rFonts w:ascii="Calibri" w:hAnsi="Calibri"/>
          <w:color w:val="AEAAAA" w:themeColor="background2" w:themeShade="BF"/>
          <w:sz w:val="26"/>
          <w:szCs w:val="27"/>
        </w:rPr>
        <w:t>ado por el</w:t>
      </w:r>
      <w:r w:rsidR="00305A54">
        <w:rPr>
          <w:rFonts w:ascii="Calibri" w:hAnsi="Calibri"/>
          <w:color w:val="AEAAAA" w:themeColor="background2" w:themeShade="BF"/>
          <w:sz w:val="26"/>
          <w:szCs w:val="27"/>
        </w:rPr>
        <w:t xml:space="preserve"> </w:t>
      </w:r>
      <w:r w:rsidRPr="009E1DEC">
        <w:rPr>
          <w:rFonts w:ascii="Calibri" w:hAnsi="Calibri"/>
          <w:color w:val="AEAAAA" w:themeColor="background2" w:themeShade="BF"/>
          <w:sz w:val="26"/>
          <w:szCs w:val="27"/>
        </w:rPr>
        <w:t>Coordinador</w:t>
      </w:r>
      <w:r w:rsidR="008927F9">
        <w:rPr>
          <w:rFonts w:ascii="Calibri" w:hAnsi="Calibri"/>
          <w:color w:val="AEAAAA" w:themeColor="background2" w:themeShade="BF"/>
          <w:sz w:val="26"/>
          <w:szCs w:val="27"/>
        </w:rPr>
        <w:t>,</w:t>
      </w:r>
      <w:r w:rsidRPr="009E1DEC">
        <w:rPr>
          <w:rFonts w:ascii="Calibri" w:hAnsi="Calibri"/>
          <w:color w:val="AEAAAA" w:themeColor="background2" w:themeShade="BF"/>
          <w:sz w:val="26"/>
          <w:szCs w:val="27"/>
        </w:rPr>
        <w:t xml:space="preserve"> Arquitecto Martín Aguilar Huerta</w:t>
      </w:r>
      <w:r w:rsidR="00305A54">
        <w:rPr>
          <w:rFonts w:ascii="Calibri" w:hAnsi="Calibri"/>
          <w:color w:val="AEAAAA" w:themeColor="background2" w:themeShade="BF"/>
          <w:sz w:val="26"/>
          <w:szCs w:val="27"/>
        </w:rPr>
        <w:t>;</w:t>
      </w:r>
      <w:r w:rsidRPr="009E1DEC">
        <w:rPr>
          <w:rFonts w:ascii="Calibri" w:hAnsi="Calibri"/>
          <w:color w:val="AEAAAA" w:themeColor="background2" w:themeShade="BF"/>
          <w:sz w:val="26"/>
          <w:szCs w:val="27"/>
        </w:rPr>
        <w:t xml:space="preserve"> y con l</w:t>
      </w:r>
      <w:r w:rsidR="00305A54">
        <w:rPr>
          <w:rFonts w:ascii="Calibri" w:hAnsi="Calibri"/>
          <w:color w:val="AEAAAA" w:themeColor="background2" w:themeShade="BF"/>
          <w:sz w:val="26"/>
          <w:szCs w:val="27"/>
        </w:rPr>
        <w:t>a</w:t>
      </w:r>
      <w:r w:rsidRPr="009E1DEC">
        <w:rPr>
          <w:rFonts w:ascii="Calibri" w:hAnsi="Calibri"/>
          <w:color w:val="AEAAAA" w:themeColor="background2" w:themeShade="BF"/>
          <w:sz w:val="26"/>
          <w:szCs w:val="27"/>
        </w:rPr>
        <w:t xml:space="preserve"> </w:t>
      </w:r>
      <w:r w:rsidR="00305A54">
        <w:rPr>
          <w:rFonts w:ascii="Calibri" w:hAnsi="Calibri"/>
          <w:color w:val="AEAAAA" w:themeColor="background2" w:themeShade="BF"/>
          <w:sz w:val="26"/>
          <w:szCs w:val="27"/>
        </w:rPr>
        <w:t>notificación del resultado del avalúo de fecha 21</w:t>
      </w:r>
      <w:r w:rsidRPr="009E1DEC">
        <w:rPr>
          <w:rFonts w:ascii="Calibri" w:hAnsi="Calibri"/>
          <w:color w:val="AEAAAA" w:themeColor="background2" w:themeShade="BF"/>
          <w:sz w:val="26"/>
          <w:szCs w:val="27"/>
        </w:rPr>
        <w:t xml:space="preserve"> </w:t>
      </w:r>
      <w:r w:rsidR="00305A54">
        <w:rPr>
          <w:rFonts w:ascii="Calibri" w:hAnsi="Calibri"/>
          <w:color w:val="AEAAAA" w:themeColor="background2" w:themeShade="BF"/>
          <w:sz w:val="26"/>
          <w:szCs w:val="27"/>
        </w:rPr>
        <w:t>veintiuno</w:t>
      </w:r>
      <w:r w:rsidRPr="009E1DEC">
        <w:rPr>
          <w:rFonts w:ascii="Calibri" w:hAnsi="Calibri"/>
          <w:color w:val="AEAAAA" w:themeColor="background2" w:themeShade="BF"/>
          <w:sz w:val="26"/>
          <w:szCs w:val="27"/>
        </w:rPr>
        <w:t xml:space="preserve"> de </w:t>
      </w:r>
      <w:r w:rsidR="00305A54">
        <w:rPr>
          <w:rFonts w:ascii="Calibri" w:hAnsi="Calibri"/>
          <w:color w:val="AEAAAA" w:themeColor="background2" w:themeShade="BF"/>
          <w:sz w:val="26"/>
          <w:szCs w:val="27"/>
        </w:rPr>
        <w:t>julio</w:t>
      </w:r>
      <w:r w:rsidRPr="009E1DEC">
        <w:rPr>
          <w:rFonts w:ascii="Calibri" w:hAnsi="Calibri"/>
          <w:color w:val="AEAAAA" w:themeColor="background2" w:themeShade="BF"/>
          <w:sz w:val="26"/>
          <w:szCs w:val="27"/>
        </w:rPr>
        <w:t xml:space="preserve"> de ese mismo año, </w:t>
      </w:r>
      <w:r w:rsidR="00305A54">
        <w:rPr>
          <w:rFonts w:ascii="Calibri" w:hAnsi="Calibri"/>
          <w:color w:val="AEAAAA" w:themeColor="background2" w:themeShade="BF"/>
          <w:sz w:val="26"/>
          <w:szCs w:val="27"/>
        </w:rPr>
        <w:t xml:space="preserve">con folio número 1013132; de la cuenta predial número </w:t>
      </w:r>
      <w:r w:rsidR="008B6C0C">
        <w:rPr>
          <w:rFonts w:ascii="Calibri" w:hAnsi="Calibri"/>
          <w:color w:val="AEAAAA" w:themeColor="background2" w:themeShade="BF"/>
          <w:sz w:val="26"/>
          <w:szCs w:val="27"/>
        </w:rPr>
        <w:t>01-E-</w:t>
      </w:r>
      <w:r w:rsidR="00305A54">
        <w:rPr>
          <w:rFonts w:ascii="Calibri" w:hAnsi="Calibri"/>
          <w:color w:val="AEAAAA" w:themeColor="background2" w:themeShade="BF"/>
          <w:sz w:val="26"/>
          <w:szCs w:val="27"/>
        </w:rPr>
        <w:t>001683 001; respecto del inmueble</w:t>
      </w:r>
      <w:r w:rsidR="00305A54" w:rsidRPr="008B6C0C">
        <w:rPr>
          <w:rFonts w:ascii="Calibri" w:hAnsi="Calibri"/>
          <w:color w:val="AEAAAA" w:themeColor="background2" w:themeShade="BF"/>
          <w:sz w:val="26"/>
          <w:szCs w:val="27"/>
        </w:rPr>
        <w:t xml:space="preserve"> </w:t>
      </w:r>
      <w:r w:rsidR="008927F9" w:rsidRPr="008B6C0C">
        <w:rPr>
          <w:rFonts w:ascii="Calibri" w:hAnsi="Calibri"/>
          <w:color w:val="AEAAAA" w:themeColor="background2" w:themeShade="BF"/>
          <w:sz w:val="26"/>
          <w:szCs w:val="27"/>
        </w:rPr>
        <w:t xml:space="preserve">marcado con el número 102 ciento dos, interior 415 cuatrocientos quince de la calle Francisco I. Madero </w:t>
      </w:r>
      <w:r w:rsidR="00305A54" w:rsidRPr="008B6C0C">
        <w:rPr>
          <w:rFonts w:ascii="Calibri" w:hAnsi="Calibri"/>
          <w:color w:val="AEAAAA" w:themeColor="background2" w:themeShade="BF"/>
          <w:sz w:val="26"/>
          <w:szCs w:val="27"/>
        </w:rPr>
        <w:t>de la zona centro de esta ciudad</w:t>
      </w:r>
      <w:r w:rsidR="008927F9" w:rsidRPr="008B6C0C">
        <w:rPr>
          <w:rFonts w:ascii="Calibri" w:hAnsi="Calibri"/>
          <w:color w:val="AEAAAA" w:themeColor="background2" w:themeShade="BF"/>
          <w:sz w:val="26"/>
          <w:szCs w:val="27"/>
        </w:rPr>
        <w:t xml:space="preserve"> y de la determinación del impuesto predial </w:t>
      </w:r>
      <w:r w:rsidR="00524B5B" w:rsidRPr="008B6C0C">
        <w:rPr>
          <w:rFonts w:ascii="Calibri" w:hAnsi="Calibri"/>
          <w:color w:val="AEAAAA" w:themeColor="background2" w:themeShade="BF"/>
          <w:sz w:val="26"/>
          <w:szCs w:val="27"/>
        </w:rPr>
        <w:t xml:space="preserve">para el año </w:t>
      </w:r>
      <w:r w:rsidR="008B6C0C">
        <w:rPr>
          <w:rFonts w:ascii="Calibri" w:hAnsi="Calibri"/>
          <w:color w:val="AEAAAA" w:themeColor="background2" w:themeShade="BF"/>
          <w:sz w:val="26"/>
          <w:szCs w:val="27"/>
        </w:rPr>
        <w:t>2015</w:t>
      </w:r>
      <w:r w:rsidR="00524B5B" w:rsidRPr="008B6C0C">
        <w:rPr>
          <w:rFonts w:ascii="Calibri" w:hAnsi="Calibri"/>
          <w:color w:val="AEAAAA" w:themeColor="background2" w:themeShade="BF"/>
          <w:sz w:val="26"/>
          <w:szCs w:val="27"/>
        </w:rPr>
        <w:t xml:space="preserve"> </w:t>
      </w:r>
      <w:r w:rsidR="008B6C0C">
        <w:rPr>
          <w:rFonts w:ascii="Calibri" w:hAnsi="Calibri"/>
          <w:color w:val="AEAAAA" w:themeColor="background2" w:themeShade="BF"/>
          <w:sz w:val="26"/>
          <w:szCs w:val="27"/>
        </w:rPr>
        <w:t xml:space="preserve">dos mil quince, </w:t>
      </w:r>
      <w:r w:rsidR="00524B5B" w:rsidRPr="008B6C0C">
        <w:rPr>
          <w:rFonts w:ascii="Calibri" w:hAnsi="Calibri"/>
          <w:color w:val="AEAAAA" w:themeColor="background2" w:themeShade="BF"/>
          <w:sz w:val="26"/>
          <w:szCs w:val="27"/>
        </w:rPr>
        <w:t xml:space="preserve">por la cantidad de </w:t>
      </w:r>
      <w:r w:rsidR="00524B5B">
        <w:rPr>
          <w:rFonts w:ascii="Calibri" w:hAnsi="Calibri"/>
          <w:color w:val="AEAAAA" w:themeColor="background2" w:themeShade="BF"/>
          <w:sz w:val="26"/>
          <w:szCs w:val="27"/>
        </w:rPr>
        <w:t>$</w:t>
      </w:r>
      <w:r w:rsidR="00305A54">
        <w:rPr>
          <w:rFonts w:ascii="Calibri" w:hAnsi="Calibri"/>
          <w:color w:val="AEAAAA" w:themeColor="background2" w:themeShade="BF"/>
          <w:sz w:val="26"/>
          <w:szCs w:val="27"/>
        </w:rPr>
        <w:t>1,207.89 (Un mil doscientos siete pesos 89/100 Moneda Nacional)</w:t>
      </w:r>
      <w:r w:rsidRPr="009E1DEC">
        <w:rPr>
          <w:rFonts w:ascii="Calibri" w:hAnsi="Calibri"/>
          <w:bCs/>
          <w:color w:val="AEAAAA" w:themeColor="background2" w:themeShade="BF"/>
          <w:sz w:val="26"/>
          <w:szCs w:val="27"/>
        </w:rPr>
        <w:t>;</w:t>
      </w:r>
      <w:r w:rsidRPr="009E1DEC">
        <w:rPr>
          <w:rFonts w:ascii="Calibri" w:hAnsi="Calibri"/>
          <w:color w:val="AEAAAA" w:themeColor="background2" w:themeShade="BF"/>
          <w:sz w:val="26"/>
          <w:szCs w:val="27"/>
        </w:rPr>
        <w:t xml:space="preserve"> documentos que fueron aportados en original </w:t>
      </w:r>
      <w:r w:rsidR="00305A54">
        <w:rPr>
          <w:rFonts w:ascii="Calibri" w:hAnsi="Calibri"/>
          <w:color w:val="AEAAAA" w:themeColor="background2" w:themeShade="BF"/>
          <w:sz w:val="26"/>
          <w:szCs w:val="27"/>
        </w:rPr>
        <w:t xml:space="preserve">el avalúo y en copia al carbón la notificación; </w:t>
      </w:r>
      <w:r w:rsidRPr="009E1DEC">
        <w:rPr>
          <w:rFonts w:ascii="Calibri" w:hAnsi="Calibri"/>
          <w:color w:val="AEAAAA" w:themeColor="background2" w:themeShade="BF"/>
          <w:sz w:val="26"/>
          <w:szCs w:val="27"/>
        </w:rPr>
        <w:t xml:space="preserve">son visibles en el expediente, en copia certificada, a fojas 3 tres y </w:t>
      </w:r>
      <w:r w:rsidR="00305A54">
        <w:rPr>
          <w:rFonts w:ascii="Calibri" w:hAnsi="Calibri"/>
          <w:color w:val="AEAAAA" w:themeColor="background2" w:themeShade="BF"/>
          <w:sz w:val="26"/>
          <w:szCs w:val="27"/>
        </w:rPr>
        <w:t>5</w:t>
      </w:r>
      <w:r w:rsidRPr="009E1DEC">
        <w:rPr>
          <w:rFonts w:ascii="Calibri" w:hAnsi="Calibri"/>
          <w:color w:val="AEAAAA" w:themeColor="background2" w:themeShade="BF"/>
          <w:sz w:val="26"/>
          <w:szCs w:val="27"/>
        </w:rPr>
        <w:t xml:space="preserve"> c</w:t>
      </w:r>
      <w:r w:rsidR="00305A54">
        <w:rPr>
          <w:rFonts w:ascii="Calibri" w:hAnsi="Calibri"/>
          <w:color w:val="AEAAAA" w:themeColor="background2" w:themeShade="BF"/>
          <w:sz w:val="26"/>
          <w:szCs w:val="27"/>
        </w:rPr>
        <w:t>inc</w:t>
      </w:r>
      <w:r w:rsidRPr="009E1DEC">
        <w:rPr>
          <w:rFonts w:ascii="Calibri" w:hAnsi="Calibri"/>
          <w:color w:val="AEAAAA" w:themeColor="background2" w:themeShade="BF"/>
          <w:sz w:val="26"/>
          <w:szCs w:val="27"/>
        </w:rPr>
        <w:t xml:space="preserve">o; documentos que admitidos como pruebas a las partes, merecen pleno valor probatorio, </w:t>
      </w:r>
      <w:r w:rsidRPr="009E1DEC">
        <w:rPr>
          <w:rFonts w:ascii="Calibri" w:hAnsi="Calibri" w:cs="Arial"/>
          <w:color w:val="AEAAAA" w:themeColor="background2" w:themeShade="BF"/>
          <w:sz w:val="26"/>
          <w:szCs w:val="27"/>
        </w:rPr>
        <w:t xml:space="preserve">conforme a lo dispuesto en los artículos </w:t>
      </w:r>
      <w:r w:rsidRPr="009E1DEC">
        <w:rPr>
          <w:rFonts w:ascii="Calibri" w:hAnsi="Calibri"/>
          <w:color w:val="AEAAAA" w:themeColor="background2" w:themeShade="BF"/>
          <w:sz w:val="26"/>
          <w:szCs w:val="27"/>
        </w:rPr>
        <w:t xml:space="preserve">78, 117, 121, 123 y 131 del Código de Procedimiento y Justicia Administrativa para el Estado y los Municipios de Guanajuato; toda vez que se trata de documentos públicos emitidos por </w:t>
      </w:r>
      <w:r w:rsidR="00305A54">
        <w:rPr>
          <w:rFonts w:ascii="Calibri" w:hAnsi="Calibri"/>
          <w:color w:val="AEAAAA" w:themeColor="background2" w:themeShade="BF"/>
          <w:sz w:val="26"/>
          <w:szCs w:val="27"/>
        </w:rPr>
        <w:t>e</w:t>
      </w:r>
      <w:r w:rsidRPr="009E1DEC">
        <w:rPr>
          <w:rFonts w:ascii="Calibri" w:hAnsi="Calibri"/>
          <w:color w:val="AEAAAA" w:themeColor="background2" w:themeShade="BF"/>
          <w:sz w:val="26"/>
          <w:szCs w:val="27"/>
        </w:rPr>
        <w:t xml:space="preserve">l </w:t>
      </w:r>
      <w:r w:rsidR="00305A54">
        <w:rPr>
          <w:rFonts w:ascii="Calibri" w:hAnsi="Calibri"/>
          <w:color w:val="AEAAAA" w:themeColor="background2" w:themeShade="BF"/>
          <w:sz w:val="26"/>
          <w:szCs w:val="27"/>
        </w:rPr>
        <w:t xml:space="preserve">Tesorero Municipal y </w:t>
      </w:r>
      <w:r w:rsidRPr="009E1DEC">
        <w:rPr>
          <w:rFonts w:ascii="Calibri" w:hAnsi="Calibri"/>
          <w:color w:val="AEAAAA" w:themeColor="background2" w:themeShade="BF"/>
          <w:sz w:val="26"/>
          <w:szCs w:val="27"/>
        </w:rPr>
        <w:t>la perito valuador de nombre</w:t>
      </w:r>
      <w:r w:rsidR="00305A54">
        <w:rPr>
          <w:rFonts w:ascii="Calibri" w:hAnsi="Calibri"/>
          <w:color w:val="AEAAAA" w:themeColor="background2" w:themeShade="BF"/>
          <w:sz w:val="26"/>
          <w:szCs w:val="27"/>
        </w:rPr>
        <w:t xml:space="preserve"> Edith Guadalupe Pérez Moreno;</w:t>
      </w:r>
      <w:r w:rsidRPr="009E1DEC">
        <w:rPr>
          <w:rFonts w:ascii="Calibri" w:hAnsi="Calibri"/>
          <w:color w:val="AEAAAA" w:themeColor="background2" w:themeShade="BF"/>
          <w:sz w:val="26"/>
          <w:szCs w:val="27"/>
        </w:rPr>
        <w:t xml:space="preserve"> y el coordinador Arquitecto Martín Aguilar Huerta</w:t>
      </w:r>
      <w:r w:rsidRPr="009E1DEC">
        <w:rPr>
          <w:rFonts w:ascii="Calibri" w:hAnsi="Calibri"/>
          <w:color w:val="AEAAAA" w:themeColor="background2" w:themeShade="BF"/>
          <w:sz w:val="26"/>
          <w:szCs w:val="26"/>
        </w:rPr>
        <w:t xml:space="preserve"> . . . . </w:t>
      </w:r>
    </w:p>
    <w:p w:rsidR="00305A54" w:rsidRPr="009E1DEC" w:rsidRDefault="00305A54" w:rsidP="009E1DEC">
      <w:pPr>
        <w:ind w:firstLine="708"/>
        <w:jc w:val="both"/>
        <w:rPr>
          <w:rFonts w:ascii="Calibri" w:hAnsi="Calibri"/>
          <w:color w:val="AEAAAA" w:themeColor="background2" w:themeShade="BF"/>
          <w:sz w:val="26"/>
          <w:szCs w:val="26"/>
        </w:rPr>
      </w:pPr>
    </w:p>
    <w:p w:rsidR="009E1DEC" w:rsidRPr="009E1DEC" w:rsidRDefault="009E1DEC" w:rsidP="009E1DEC">
      <w:pPr>
        <w:ind w:firstLine="708"/>
        <w:jc w:val="both"/>
        <w:rPr>
          <w:rFonts w:ascii="Calibri" w:hAnsi="Calibri" w:cs="Calibri"/>
          <w:color w:val="AEAAAA" w:themeColor="background2" w:themeShade="BF"/>
          <w:sz w:val="26"/>
          <w:szCs w:val="26"/>
        </w:rPr>
      </w:pPr>
      <w:r w:rsidRPr="009E1DEC">
        <w:rPr>
          <w:rFonts w:ascii="Calibri" w:hAnsi="Calibri"/>
          <w:color w:val="AEAAAA" w:themeColor="background2" w:themeShade="BF"/>
          <w:sz w:val="26"/>
          <w:szCs w:val="27"/>
        </w:rPr>
        <w:t>En razón de lo anterior, se tiene por debidamente acreditada la existencia de los actos impugnados. . . . . . . . . . . . . . . . . . . . . . . . . . . . . . . . .</w:t>
      </w:r>
      <w:r w:rsidR="008B6C0C">
        <w:rPr>
          <w:rFonts w:ascii="Calibri" w:hAnsi="Calibri"/>
          <w:color w:val="AEAAAA" w:themeColor="background2" w:themeShade="BF"/>
          <w:sz w:val="26"/>
          <w:szCs w:val="27"/>
        </w:rPr>
        <w:t xml:space="preserve"> . . . . . . . . . . . . . . . </w:t>
      </w:r>
    </w:p>
    <w:p w:rsidR="009E1DEC" w:rsidRPr="009E1DEC" w:rsidRDefault="009E1DEC" w:rsidP="009E1DEC">
      <w:pPr>
        <w:ind w:firstLine="708"/>
        <w:jc w:val="both"/>
        <w:rPr>
          <w:rFonts w:ascii="Calibri" w:hAnsi="Calibri"/>
          <w:color w:val="AEAAAA" w:themeColor="background2" w:themeShade="BF"/>
          <w:sz w:val="26"/>
          <w:szCs w:val="27"/>
        </w:rPr>
      </w:pPr>
      <w:r w:rsidRPr="009E1DEC">
        <w:rPr>
          <w:rFonts w:ascii="Calibri" w:hAnsi="Calibri"/>
          <w:color w:val="AEAAAA" w:themeColor="background2" w:themeShade="BF"/>
          <w:sz w:val="26"/>
          <w:szCs w:val="26"/>
        </w:rPr>
        <w:t xml:space="preserve"> </w:t>
      </w:r>
    </w:p>
    <w:p w:rsidR="009E1DEC" w:rsidRPr="009E1DEC" w:rsidRDefault="009E1DEC" w:rsidP="009E1DEC">
      <w:pPr>
        <w:ind w:firstLine="708"/>
        <w:jc w:val="both"/>
        <w:rPr>
          <w:rFonts w:ascii="Calibri" w:hAnsi="Calibri"/>
          <w:bCs/>
          <w:iCs/>
          <w:color w:val="AEAAAA" w:themeColor="background2" w:themeShade="BF"/>
          <w:sz w:val="26"/>
          <w:szCs w:val="26"/>
        </w:rPr>
      </w:pPr>
      <w:r w:rsidRPr="009E1DEC">
        <w:rPr>
          <w:rFonts w:ascii="Calibri" w:hAnsi="Calibri"/>
          <w:b/>
          <w:bCs/>
          <w:i/>
          <w:iCs/>
          <w:color w:val="AEAAAA" w:themeColor="background2" w:themeShade="BF"/>
          <w:sz w:val="26"/>
          <w:szCs w:val="27"/>
        </w:rPr>
        <w:t xml:space="preserve">CUARTO.- </w:t>
      </w:r>
      <w:r w:rsidRPr="009E1DEC">
        <w:rPr>
          <w:rFonts w:ascii="Calibri" w:hAnsi="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9E1DEC">
        <w:rPr>
          <w:rFonts w:ascii="Calibri" w:hAnsi="Calibri"/>
          <w:bCs/>
          <w:iCs/>
          <w:color w:val="AEAAAA" w:themeColor="background2" w:themeShade="BF"/>
          <w:sz w:val="26"/>
          <w:szCs w:val="26"/>
        </w:rPr>
        <w:lastRenderedPageBreak/>
        <w:t xml:space="preserve">y Justicia Administrativa  para el Estado y los Municipios de  Guanajuato, ya que de actualizarse alguna, podría imposibilitar el pronunciamiento por parte de este órgano jurisdiccional sobre el fondo de la controversia planteada. . . . . . . . . . . . . . </w:t>
      </w:r>
    </w:p>
    <w:p w:rsidR="009E1DEC" w:rsidRPr="009E1DEC" w:rsidRDefault="009E1DEC" w:rsidP="009E1DEC">
      <w:pPr>
        <w:ind w:firstLine="708"/>
        <w:jc w:val="both"/>
        <w:rPr>
          <w:rFonts w:ascii="Calibri" w:hAnsi="Calibri"/>
          <w:bCs/>
          <w:iCs/>
          <w:color w:val="AEAAAA" w:themeColor="background2" w:themeShade="BF"/>
          <w:sz w:val="26"/>
          <w:szCs w:val="26"/>
        </w:rPr>
      </w:pPr>
    </w:p>
    <w:p w:rsidR="009E1DEC" w:rsidRPr="009E1DEC" w:rsidRDefault="009E1DEC" w:rsidP="009E1DEC">
      <w:pPr>
        <w:ind w:firstLine="708"/>
        <w:jc w:val="both"/>
        <w:rPr>
          <w:rFonts w:ascii="Calibri" w:hAnsi="Calibri"/>
          <w:color w:val="AEAAAA" w:themeColor="background2" w:themeShade="BF"/>
          <w:sz w:val="26"/>
          <w:szCs w:val="27"/>
        </w:rPr>
      </w:pPr>
      <w:r w:rsidRPr="009E1DEC">
        <w:rPr>
          <w:rFonts w:ascii="Calibri" w:hAnsi="Calibri"/>
          <w:color w:val="AEAAAA" w:themeColor="background2" w:themeShade="BF"/>
          <w:sz w:val="26"/>
        </w:rPr>
        <w:t xml:space="preserve">En la especie, en la presente causa administrativa, las autoridades señaladas como demandadas </w:t>
      </w:r>
      <w:r w:rsidRPr="00524B5B">
        <w:rPr>
          <w:rFonts w:ascii="Calibri" w:hAnsi="Calibri"/>
          <w:b/>
          <w:color w:val="AEAAAA" w:themeColor="background2" w:themeShade="BF"/>
          <w:sz w:val="26"/>
        </w:rPr>
        <w:t>no plantearon</w:t>
      </w:r>
      <w:r w:rsidRPr="009E1DEC">
        <w:rPr>
          <w:rFonts w:ascii="Calibri" w:hAnsi="Calibri"/>
          <w:color w:val="AEAAAA" w:themeColor="background2" w:themeShade="BF"/>
          <w:sz w:val="26"/>
        </w:rPr>
        <w:t xml:space="preserve"> ninguna causal de improcedencia o de sobreseimiento y, de oficio, </w:t>
      </w:r>
      <w:r w:rsidRPr="009E1DEC">
        <w:rPr>
          <w:rFonts w:ascii="Calibri" w:hAnsi="Calibri"/>
          <w:color w:val="AEAAAA" w:themeColor="background2" w:themeShade="BF"/>
          <w:sz w:val="26"/>
          <w:szCs w:val="27"/>
        </w:rPr>
        <w:t xml:space="preserve">este Juzgador </w:t>
      </w:r>
      <w:r w:rsidRPr="00524B5B">
        <w:rPr>
          <w:rFonts w:ascii="Calibri" w:hAnsi="Calibri"/>
          <w:b/>
          <w:color w:val="AEAAAA" w:themeColor="background2" w:themeShade="BF"/>
          <w:sz w:val="26"/>
          <w:szCs w:val="27"/>
        </w:rPr>
        <w:t>no advierte</w:t>
      </w:r>
      <w:r w:rsidRPr="009E1DEC">
        <w:rPr>
          <w:rFonts w:ascii="Calibri" w:hAnsi="Calibri"/>
          <w:color w:val="AEAAAA" w:themeColor="background2" w:themeShade="BF"/>
          <w:sz w:val="26"/>
          <w:szCs w:val="27"/>
        </w:rPr>
        <w:t xml:space="preserve"> la actualización de </w:t>
      </w:r>
      <w:r w:rsidR="00524B5B">
        <w:rPr>
          <w:rFonts w:ascii="Calibri" w:hAnsi="Calibri"/>
          <w:color w:val="AEAAAA" w:themeColor="background2" w:themeShade="BF"/>
          <w:sz w:val="26"/>
          <w:szCs w:val="27"/>
        </w:rPr>
        <w:t>alguna</w:t>
      </w:r>
      <w:r w:rsidRPr="009E1DEC">
        <w:rPr>
          <w:rFonts w:ascii="Calibri" w:hAnsi="Calibri"/>
          <w:color w:val="AEAAAA" w:themeColor="background2" w:themeShade="BF"/>
          <w:sz w:val="26"/>
          <w:szCs w:val="27"/>
        </w:rPr>
        <w:t xml:space="preserve"> que impida el estudio de fondo de esta causa administrativa;</w:t>
      </w:r>
      <w:r w:rsidRPr="009E1DEC">
        <w:rPr>
          <w:rFonts w:ascii="Calibri" w:hAnsi="Calibri" w:cs="Calibri"/>
          <w:bCs/>
          <w:iCs/>
          <w:color w:val="AEAAAA" w:themeColor="background2" w:themeShade="BF"/>
          <w:sz w:val="26"/>
          <w:szCs w:val="26"/>
        </w:rPr>
        <w:t xml:space="preserve"> por lo que en consecuencia es procedente el presente proceso respecto de los actos administrativos impugnados</w:t>
      </w:r>
      <w:r w:rsidRPr="009E1DEC">
        <w:rPr>
          <w:rFonts w:ascii="Calibri" w:hAnsi="Calibri"/>
          <w:color w:val="AEAAAA" w:themeColor="background2" w:themeShade="BF"/>
          <w:sz w:val="26"/>
          <w:szCs w:val="27"/>
        </w:rPr>
        <w:t xml:space="preserve"> . . . . . . . . . . . . . . . . . . . . . . . . . . . . . . . . . . . . . . . . . . . . .</w:t>
      </w:r>
    </w:p>
    <w:p w:rsidR="009E1DEC" w:rsidRPr="009E1DEC" w:rsidRDefault="009E1DEC" w:rsidP="009E1DEC">
      <w:pPr>
        <w:ind w:firstLine="708"/>
        <w:jc w:val="both"/>
        <w:rPr>
          <w:rFonts w:ascii="Calibri" w:hAnsi="Calibri" w:cs="Calibri"/>
          <w:color w:val="AEAAAA" w:themeColor="background2" w:themeShade="BF"/>
          <w:sz w:val="26"/>
          <w:szCs w:val="26"/>
          <w:lang w:val="es-MX"/>
        </w:rPr>
      </w:pPr>
    </w:p>
    <w:p w:rsidR="009E1DEC" w:rsidRPr="009E1DEC" w:rsidRDefault="009E1DEC" w:rsidP="009E1DEC">
      <w:pPr>
        <w:ind w:firstLine="708"/>
        <w:jc w:val="both"/>
        <w:rPr>
          <w:rFonts w:ascii="Calibri" w:hAnsi="Calibri" w:cs="Calibri"/>
          <w:b/>
          <w:bCs/>
          <w:i/>
          <w:iCs/>
          <w:color w:val="AEAAAA" w:themeColor="background2" w:themeShade="BF"/>
          <w:sz w:val="26"/>
          <w:szCs w:val="26"/>
        </w:rPr>
      </w:pPr>
      <w:r w:rsidRPr="009E1DEC">
        <w:rPr>
          <w:rFonts w:ascii="Calibri" w:hAnsi="Calibri" w:cs="Calibri"/>
          <w:b/>
          <w:bCs/>
          <w:i/>
          <w:iCs/>
          <w:color w:val="AEAAAA" w:themeColor="background2" w:themeShade="BF"/>
          <w:sz w:val="26"/>
          <w:szCs w:val="26"/>
        </w:rPr>
        <w:t>QUINTO.-</w:t>
      </w:r>
      <w:r w:rsidRPr="009E1DEC">
        <w:rPr>
          <w:rFonts w:ascii="Calibri" w:hAnsi="Calibri" w:cs="Calibri"/>
          <w:color w:val="AEAAAA" w:themeColor="background2" w:themeShade="BF"/>
          <w:sz w:val="26"/>
          <w:szCs w:val="26"/>
        </w:rPr>
        <w:t xml:space="preserve"> </w:t>
      </w:r>
      <w:r w:rsidRPr="009E1DEC">
        <w:rPr>
          <w:rFonts w:ascii="Calibri" w:hAnsi="Calibri" w:cs="Calibri"/>
          <w:bCs/>
          <w:iCs/>
          <w:color w:val="AEAAAA" w:themeColor="background2" w:themeShade="BF"/>
          <w:sz w:val="26"/>
          <w:szCs w:val="26"/>
        </w:rPr>
        <w:t>Previamente al análisis del planteamiento de fondo formulado por el actor, es</w:t>
      </w:r>
      <w:r w:rsidRPr="009E1DEC">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9E1DEC" w:rsidRPr="009E1DEC" w:rsidRDefault="009E1DEC" w:rsidP="009E1DEC">
      <w:pPr>
        <w:jc w:val="both"/>
        <w:rPr>
          <w:rFonts w:ascii="Calibri" w:hAnsi="Calibri"/>
          <w:color w:val="AEAAAA" w:themeColor="background2" w:themeShade="BF"/>
          <w:sz w:val="22"/>
          <w:szCs w:val="27"/>
        </w:rPr>
      </w:pPr>
    </w:p>
    <w:p w:rsidR="009E1DEC" w:rsidRPr="009E1DEC" w:rsidRDefault="009E1DEC" w:rsidP="009E1DEC">
      <w:pPr>
        <w:pStyle w:val="Sangra2detindependiente"/>
        <w:rPr>
          <w:rFonts w:ascii="Calibri" w:hAnsi="Calibri"/>
          <w:color w:val="AEAAAA" w:themeColor="background2" w:themeShade="BF"/>
          <w:sz w:val="26"/>
        </w:rPr>
      </w:pPr>
      <w:r w:rsidRPr="009E1DEC">
        <w:rPr>
          <w:rFonts w:ascii="Calibri" w:hAnsi="Calibri"/>
          <w:color w:val="AEAAAA" w:themeColor="background2" w:themeShade="BF"/>
          <w:sz w:val="26"/>
        </w:rPr>
        <w:t xml:space="preserve">De lo expuesto en el escrito de demanda, así como de las constancias que integran esta causa administrativa, se desprende que el ciudadano </w:t>
      </w:r>
      <w:r w:rsidR="003E60FD">
        <w:rPr>
          <w:rFonts w:ascii="Calibri" w:hAnsi="Calibri" w:cs="Arial"/>
          <w:color w:val="AEAAAA" w:themeColor="background2" w:themeShade="BF"/>
          <w:sz w:val="26"/>
        </w:rPr>
        <w:t>*****</w:t>
      </w:r>
      <w:r w:rsidR="00035B2D" w:rsidRPr="009E1DEC">
        <w:rPr>
          <w:rFonts w:ascii="Calibri" w:hAnsi="Calibri"/>
          <w:color w:val="AEAAAA" w:themeColor="background2" w:themeShade="BF"/>
          <w:sz w:val="26"/>
        </w:rPr>
        <w:t xml:space="preserve"> </w:t>
      </w:r>
      <w:r w:rsidRPr="009E1DEC">
        <w:rPr>
          <w:rFonts w:ascii="Calibri" w:hAnsi="Calibri"/>
          <w:color w:val="AEAAAA" w:themeColor="background2" w:themeShade="BF"/>
          <w:sz w:val="26"/>
        </w:rPr>
        <w:t>s</w:t>
      </w:r>
      <w:r w:rsidR="005028B6">
        <w:rPr>
          <w:rFonts w:ascii="Calibri" w:hAnsi="Calibri"/>
          <w:color w:val="AEAAAA" w:themeColor="background2" w:themeShade="BF"/>
          <w:sz w:val="26"/>
        </w:rPr>
        <w:t>e</w:t>
      </w:r>
      <w:r w:rsidRPr="009E1DEC">
        <w:rPr>
          <w:rFonts w:ascii="Calibri" w:hAnsi="Calibri"/>
          <w:color w:val="AEAAAA" w:themeColor="background2" w:themeShade="BF"/>
          <w:sz w:val="26"/>
        </w:rPr>
        <w:t xml:space="preserve"> </w:t>
      </w:r>
      <w:r w:rsidR="005028B6">
        <w:rPr>
          <w:rFonts w:ascii="Calibri" w:hAnsi="Calibri"/>
          <w:color w:val="AEAAAA" w:themeColor="background2" w:themeShade="BF"/>
          <w:sz w:val="26"/>
        </w:rPr>
        <w:t xml:space="preserve">ostenta como </w:t>
      </w:r>
      <w:r w:rsidRPr="009E1DEC">
        <w:rPr>
          <w:rFonts w:ascii="Calibri" w:hAnsi="Calibri"/>
          <w:color w:val="AEAAAA" w:themeColor="background2" w:themeShade="BF"/>
          <w:sz w:val="26"/>
        </w:rPr>
        <w:t xml:space="preserve">propietario del inmueble ubicado en </w:t>
      </w:r>
      <w:r w:rsidR="00035B2D">
        <w:rPr>
          <w:rFonts w:ascii="Calibri" w:hAnsi="Calibri"/>
          <w:color w:val="AEAAAA" w:themeColor="background2" w:themeShade="BF"/>
          <w:sz w:val="26"/>
        </w:rPr>
        <w:t>e</w:t>
      </w:r>
      <w:r w:rsidRPr="009E1DEC">
        <w:rPr>
          <w:rFonts w:ascii="Calibri" w:hAnsi="Calibri"/>
          <w:color w:val="AEAAAA" w:themeColor="background2" w:themeShade="BF"/>
          <w:sz w:val="26"/>
        </w:rPr>
        <w:t>l</w:t>
      </w:r>
      <w:r w:rsidR="00035B2D">
        <w:rPr>
          <w:rFonts w:ascii="Calibri" w:hAnsi="Calibri"/>
          <w:color w:val="AEAAAA" w:themeColor="background2" w:themeShade="BF"/>
          <w:sz w:val="26"/>
        </w:rPr>
        <w:t xml:space="preserve"> Condominio Plaza</w:t>
      </w:r>
      <w:r w:rsidRPr="009E1DEC">
        <w:rPr>
          <w:rFonts w:ascii="Calibri" w:hAnsi="Calibri"/>
          <w:color w:val="AEAAAA" w:themeColor="background2" w:themeShade="BF"/>
          <w:sz w:val="26"/>
        </w:rPr>
        <w:t>,</w:t>
      </w:r>
      <w:r w:rsidR="00035B2D">
        <w:rPr>
          <w:rFonts w:ascii="Calibri" w:hAnsi="Calibri"/>
          <w:color w:val="AEAAAA" w:themeColor="background2" w:themeShade="BF"/>
          <w:sz w:val="26"/>
        </w:rPr>
        <w:t xml:space="preserve"> portal Bravo número 2 dos; interior 415 cuatrocientos quince, </w:t>
      </w:r>
      <w:r w:rsidRPr="009E1DEC">
        <w:rPr>
          <w:rFonts w:ascii="Calibri" w:hAnsi="Calibri"/>
          <w:color w:val="AEAAAA" w:themeColor="background2" w:themeShade="BF"/>
          <w:sz w:val="26"/>
        </w:rPr>
        <w:t xml:space="preserve">con una superficie de </w:t>
      </w:r>
      <w:r w:rsidR="00035B2D">
        <w:rPr>
          <w:rFonts w:ascii="Calibri" w:hAnsi="Calibri"/>
          <w:color w:val="AEAAAA" w:themeColor="background2" w:themeShade="BF"/>
          <w:sz w:val="26"/>
        </w:rPr>
        <w:t>4</w:t>
      </w:r>
      <w:r w:rsidRPr="009E1DEC">
        <w:rPr>
          <w:rFonts w:ascii="Calibri" w:hAnsi="Calibri"/>
          <w:color w:val="AEAAAA" w:themeColor="background2" w:themeShade="BF"/>
          <w:sz w:val="26"/>
        </w:rPr>
        <w:t xml:space="preserve">3.00 </w:t>
      </w:r>
      <w:r w:rsidR="00035B2D">
        <w:rPr>
          <w:rFonts w:ascii="Calibri" w:hAnsi="Calibri"/>
          <w:color w:val="AEAAAA" w:themeColor="background2" w:themeShade="BF"/>
          <w:sz w:val="26"/>
        </w:rPr>
        <w:t>m2 cuarenta y tres metros cuadrados;</w:t>
      </w:r>
      <w:r w:rsidRPr="009E1DEC">
        <w:rPr>
          <w:rFonts w:ascii="Calibri" w:hAnsi="Calibri"/>
          <w:color w:val="AEAAAA" w:themeColor="background2" w:themeShade="BF"/>
          <w:sz w:val="26"/>
        </w:rPr>
        <w:t xml:space="preserve"> identificado con la cuenta predial número</w:t>
      </w:r>
      <w:r w:rsidR="004E143D">
        <w:rPr>
          <w:rFonts w:ascii="Calibri" w:hAnsi="Calibri"/>
          <w:color w:val="AEAAAA" w:themeColor="background2" w:themeShade="BF"/>
          <w:sz w:val="26"/>
        </w:rPr>
        <w:t xml:space="preserve">  01 E 001683 001</w:t>
      </w:r>
      <w:r w:rsidR="00524B5B">
        <w:rPr>
          <w:rFonts w:ascii="Calibri" w:hAnsi="Calibri"/>
          <w:color w:val="AEAAAA" w:themeColor="background2" w:themeShade="BF"/>
          <w:sz w:val="26"/>
        </w:rPr>
        <w:t>, y que respec</w:t>
      </w:r>
      <w:r w:rsidRPr="009E1DEC">
        <w:rPr>
          <w:rFonts w:ascii="Calibri" w:hAnsi="Calibri"/>
          <w:color w:val="AEAAAA" w:themeColor="background2" w:themeShade="BF"/>
          <w:sz w:val="26"/>
        </w:rPr>
        <w:t>to del cual</w:t>
      </w:r>
      <w:r w:rsidR="005028B6">
        <w:rPr>
          <w:rFonts w:ascii="Calibri" w:hAnsi="Calibri"/>
          <w:color w:val="AEAAAA" w:themeColor="background2" w:themeShade="BF"/>
          <w:sz w:val="26"/>
        </w:rPr>
        <w:t>,</w:t>
      </w:r>
      <w:r w:rsidRPr="009E1DEC">
        <w:rPr>
          <w:rFonts w:ascii="Calibri" w:hAnsi="Calibri"/>
          <w:color w:val="AEAAAA" w:themeColor="background2" w:themeShade="BF"/>
          <w:sz w:val="26"/>
        </w:rPr>
        <w:t xml:space="preserve"> durante el año 2014 dos mil catorce, pagaba de manera anual por concepto de impuesto predial, según señaló, la cantidad de $437.89 (Cuatrocientos treinta y siete pesos 89/100 Moneda Nacional), esto último </w:t>
      </w:r>
      <w:r w:rsidRPr="00524B5B">
        <w:rPr>
          <w:rFonts w:ascii="Calibri" w:hAnsi="Calibri"/>
          <w:b/>
          <w:color w:val="AEAAAA" w:themeColor="background2" w:themeShade="BF"/>
          <w:sz w:val="26"/>
        </w:rPr>
        <w:t>sin acreditarlo</w:t>
      </w:r>
      <w:r w:rsidRPr="009E1DEC">
        <w:rPr>
          <w:rFonts w:ascii="Calibri" w:hAnsi="Calibri"/>
          <w:color w:val="AEAAAA" w:themeColor="background2" w:themeShade="BF"/>
          <w:sz w:val="26"/>
        </w:rPr>
        <w:t xml:space="preserve"> con medio de convicción alguno. . . . . . . . . . . </w:t>
      </w:r>
      <w:r w:rsidR="005028B6">
        <w:rPr>
          <w:rFonts w:ascii="Calibri" w:hAnsi="Calibri"/>
          <w:color w:val="AEAAAA" w:themeColor="background2" w:themeShade="BF"/>
          <w:sz w:val="26"/>
        </w:rPr>
        <w:t xml:space="preserve">. . . . .. . . . . . . . . . . . . . . . . . . . . . . . . . . . . . . . . . . . . . . . . . . . . . . . </w:t>
      </w:r>
    </w:p>
    <w:p w:rsidR="009E1DEC" w:rsidRPr="009E1DEC" w:rsidRDefault="009E1DEC" w:rsidP="009E1DEC">
      <w:pPr>
        <w:pStyle w:val="Sangra2detindependiente"/>
        <w:rPr>
          <w:rFonts w:ascii="Calibri" w:hAnsi="Calibri"/>
          <w:color w:val="AEAAAA" w:themeColor="background2" w:themeShade="BF"/>
          <w:sz w:val="26"/>
        </w:rPr>
      </w:pPr>
    </w:p>
    <w:p w:rsidR="009E1DEC" w:rsidRPr="009E1DEC" w:rsidRDefault="009E1DEC" w:rsidP="009E1DEC">
      <w:pPr>
        <w:ind w:firstLine="708"/>
        <w:jc w:val="both"/>
        <w:rPr>
          <w:rFonts w:ascii="Calibri" w:hAnsi="Calibri" w:cs="Arial"/>
          <w:color w:val="AEAAAA" w:themeColor="background2" w:themeShade="BF"/>
          <w:sz w:val="26"/>
          <w:szCs w:val="26"/>
        </w:rPr>
      </w:pPr>
      <w:r w:rsidRPr="009E1DEC">
        <w:rPr>
          <w:rFonts w:ascii="Calibri" w:hAnsi="Calibri"/>
          <w:color w:val="AEAAAA" w:themeColor="background2" w:themeShade="BF"/>
          <w:sz w:val="26"/>
        </w:rPr>
        <w:t xml:space="preserve">Así las cosas, según refirió el actor, con fecha </w:t>
      </w:r>
      <w:r w:rsidR="00147032">
        <w:rPr>
          <w:rFonts w:ascii="Calibri" w:hAnsi="Calibri"/>
          <w:color w:val="AEAAAA" w:themeColor="background2" w:themeShade="BF"/>
          <w:sz w:val="26"/>
        </w:rPr>
        <w:t>20</w:t>
      </w:r>
      <w:r w:rsidRPr="009E1DEC">
        <w:rPr>
          <w:rFonts w:ascii="Calibri" w:hAnsi="Calibri"/>
          <w:color w:val="AEAAAA" w:themeColor="background2" w:themeShade="BF"/>
          <w:sz w:val="26"/>
        </w:rPr>
        <w:t xml:space="preserve"> </w:t>
      </w:r>
      <w:r w:rsidR="00147032">
        <w:rPr>
          <w:rFonts w:ascii="Calibri" w:hAnsi="Calibri"/>
          <w:color w:val="AEAAAA" w:themeColor="background2" w:themeShade="BF"/>
          <w:sz w:val="26"/>
        </w:rPr>
        <w:t>vei</w:t>
      </w:r>
      <w:r w:rsidRPr="009E1DEC">
        <w:rPr>
          <w:rFonts w:ascii="Calibri" w:hAnsi="Calibri"/>
          <w:color w:val="AEAAAA" w:themeColor="background2" w:themeShade="BF"/>
          <w:sz w:val="26"/>
        </w:rPr>
        <w:t>n</w:t>
      </w:r>
      <w:r w:rsidR="00147032">
        <w:rPr>
          <w:rFonts w:ascii="Calibri" w:hAnsi="Calibri"/>
          <w:color w:val="AEAAAA" w:themeColor="background2" w:themeShade="BF"/>
          <w:sz w:val="26"/>
        </w:rPr>
        <w:t>t</w:t>
      </w:r>
      <w:r w:rsidRPr="009E1DEC">
        <w:rPr>
          <w:rFonts w:ascii="Calibri" w:hAnsi="Calibri"/>
          <w:color w:val="AEAAAA" w:themeColor="background2" w:themeShade="BF"/>
          <w:sz w:val="26"/>
        </w:rPr>
        <w:t>e de septiembre del año 2014 dos mil catorce, le fue notificado el</w:t>
      </w:r>
      <w:r w:rsidR="00147032">
        <w:rPr>
          <w:rFonts w:ascii="Calibri" w:hAnsi="Calibri"/>
          <w:color w:val="AEAAAA" w:themeColor="background2" w:themeShade="BF"/>
          <w:sz w:val="26"/>
        </w:rPr>
        <w:t xml:space="preserve"> resultado del avalúo y el propio</w:t>
      </w:r>
      <w:r w:rsidRPr="009E1DEC">
        <w:rPr>
          <w:rFonts w:ascii="Calibri" w:hAnsi="Calibri"/>
          <w:color w:val="AEAAAA" w:themeColor="background2" w:themeShade="BF"/>
          <w:sz w:val="26"/>
        </w:rPr>
        <w:t xml:space="preserve"> avalúo número </w:t>
      </w:r>
      <w:r w:rsidR="00147032">
        <w:rPr>
          <w:rFonts w:ascii="Calibri" w:hAnsi="Calibri"/>
          <w:color w:val="AEAAAA" w:themeColor="background2" w:themeShade="BF"/>
          <w:sz w:val="26"/>
        </w:rPr>
        <w:t>de folio 225784</w:t>
      </w:r>
      <w:r w:rsidR="00671AB4">
        <w:rPr>
          <w:rFonts w:ascii="Calibri" w:hAnsi="Calibri"/>
          <w:color w:val="AEAAAA" w:themeColor="background2" w:themeShade="BF"/>
          <w:sz w:val="26"/>
        </w:rPr>
        <w:t xml:space="preserve"> </w:t>
      </w:r>
      <w:r w:rsidR="00671AB4">
        <w:rPr>
          <w:rFonts w:ascii="Calibri" w:hAnsi="Calibri"/>
          <w:color w:val="AEAAAA" w:themeColor="background2" w:themeShade="BF"/>
          <w:sz w:val="26"/>
          <w:szCs w:val="27"/>
        </w:rPr>
        <w:t>(doscientos veinticinco mil setecientos ochenta y cuatro);</w:t>
      </w:r>
      <w:r w:rsidRPr="009E1DEC">
        <w:rPr>
          <w:rFonts w:ascii="Calibri" w:hAnsi="Calibri"/>
          <w:color w:val="AEAAAA" w:themeColor="background2" w:themeShade="BF"/>
          <w:sz w:val="26"/>
        </w:rPr>
        <w:t xml:space="preserve"> </w:t>
      </w:r>
      <w:r w:rsidRPr="009E1DEC">
        <w:rPr>
          <w:rFonts w:ascii="Calibri" w:hAnsi="Calibri"/>
          <w:color w:val="AEAAAA" w:themeColor="background2" w:themeShade="BF"/>
          <w:sz w:val="26"/>
          <w:szCs w:val="27"/>
        </w:rPr>
        <w:t xml:space="preserve">de fecha </w:t>
      </w:r>
      <w:r w:rsidR="00147032">
        <w:rPr>
          <w:rFonts w:ascii="Calibri" w:hAnsi="Calibri"/>
          <w:color w:val="AEAAAA" w:themeColor="background2" w:themeShade="BF"/>
          <w:sz w:val="26"/>
          <w:szCs w:val="27"/>
        </w:rPr>
        <w:t>4 cuatro de julio de ese mismo año;</w:t>
      </w:r>
      <w:r w:rsidRPr="009E1DEC">
        <w:rPr>
          <w:rFonts w:ascii="Calibri" w:hAnsi="Calibri"/>
          <w:color w:val="AEAAAA" w:themeColor="background2" w:themeShade="BF"/>
          <w:sz w:val="26"/>
          <w:szCs w:val="27"/>
        </w:rPr>
        <w:t xml:space="preserve"> </w:t>
      </w:r>
      <w:r w:rsidRPr="009E1DEC">
        <w:rPr>
          <w:rFonts w:ascii="Calibri" w:hAnsi="Calibri"/>
          <w:color w:val="AEAAAA" w:themeColor="background2" w:themeShade="BF"/>
          <w:sz w:val="26"/>
        </w:rPr>
        <w:t>por medio del cual se le asignó al inmueble</w:t>
      </w:r>
      <w:r w:rsidR="00671AB4">
        <w:rPr>
          <w:rFonts w:ascii="Calibri" w:hAnsi="Calibri"/>
          <w:color w:val="AEAAAA" w:themeColor="background2" w:themeShade="BF"/>
          <w:sz w:val="26"/>
        </w:rPr>
        <w:t>,</w:t>
      </w:r>
      <w:r w:rsidRPr="009E1DEC">
        <w:rPr>
          <w:rFonts w:ascii="Calibri" w:hAnsi="Calibri"/>
          <w:color w:val="AEAAAA" w:themeColor="background2" w:themeShade="BF"/>
          <w:sz w:val="26"/>
        </w:rPr>
        <w:t xml:space="preserve"> el valor fiscal de $</w:t>
      </w:r>
      <w:r w:rsidR="002875BB">
        <w:rPr>
          <w:rFonts w:ascii="Calibri" w:hAnsi="Calibri"/>
          <w:color w:val="AEAAAA" w:themeColor="background2" w:themeShade="BF"/>
          <w:sz w:val="26"/>
        </w:rPr>
        <w:t>516</w:t>
      </w:r>
      <w:r w:rsidRPr="009E1DEC">
        <w:rPr>
          <w:rFonts w:ascii="Calibri" w:hAnsi="Calibri"/>
          <w:color w:val="AEAAAA" w:themeColor="background2" w:themeShade="BF"/>
          <w:sz w:val="26"/>
        </w:rPr>
        <w:t>,</w:t>
      </w:r>
      <w:r w:rsidR="002875BB">
        <w:rPr>
          <w:rFonts w:ascii="Calibri" w:hAnsi="Calibri"/>
          <w:color w:val="AEAAAA" w:themeColor="background2" w:themeShade="BF"/>
          <w:sz w:val="26"/>
        </w:rPr>
        <w:t>194</w:t>
      </w:r>
      <w:r w:rsidRPr="009E1DEC">
        <w:rPr>
          <w:rFonts w:ascii="Calibri" w:hAnsi="Calibri"/>
          <w:color w:val="AEAAAA" w:themeColor="background2" w:themeShade="BF"/>
          <w:sz w:val="26"/>
        </w:rPr>
        <w:t>.</w:t>
      </w:r>
      <w:r w:rsidR="002875BB">
        <w:rPr>
          <w:rFonts w:ascii="Calibri" w:hAnsi="Calibri"/>
          <w:color w:val="AEAAAA" w:themeColor="background2" w:themeShade="BF"/>
          <w:sz w:val="26"/>
        </w:rPr>
        <w:t>42</w:t>
      </w:r>
      <w:r w:rsidRPr="009E1DEC">
        <w:rPr>
          <w:rFonts w:ascii="Calibri" w:hAnsi="Calibri"/>
          <w:color w:val="AEAAAA" w:themeColor="background2" w:themeShade="BF"/>
          <w:sz w:val="26"/>
        </w:rPr>
        <w:t xml:space="preserve"> (</w:t>
      </w:r>
      <w:r w:rsidR="002875BB">
        <w:rPr>
          <w:rFonts w:ascii="Calibri" w:hAnsi="Calibri"/>
          <w:color w:val="AEAAAA" w:themeColor="background2" w:themeShade="BF"/>
          <w:sz w:val="26"/>
        </w:rPr>
        <w:t>Qui</w:t>
      </w:r>
      <w:r w:rsidRPr="009E1DEC">
        <w:rPr>
          <w:rFonts w:ascii="Calibri" w:hAnsi="Calibri"/>
          <w:color w:val="AEAAAA" w:themeColor="background2" w:themeShade="BF"/>
          <w:sz w:val="26"/>
        </w:rPr>
        <w:t>n</w:t>
      </w:r>
      <w:r w:rsidR="002875BB">
        <w:rPr>
          <w:rFonts w:ascii="Calibri" w:hAnsi="Calibri"/>
          <w:color w:val="AEAAAA" w:themeColor="background2" w:themeShade="BF"/>
          <w:sz w:val="26"/>
        </w:rPr>
        <w:t>i</w:t>
      </w:r>
      <w:r w:rsidRPr="009E1DEC">
        <w:rPr>
          <w:rFonts w:ascii="Calibri" w:hAnsi="Calibri"/>
          <w:color w:val="AEAAAA" w:themeColor="background2" w:themeShade="BF"/>
          <w:sz w:val="26"/>
        </w:rPr>
        <w:t>e</w:t>
      </w:r>
      <w:r w:rsidR="002875BB">
        <w:rPr>
          <w:rFonts w:ascii="Calibri" w:hAnsi="Calibri"/>
          <w:color w:val="AEAAAA" w:themeColor="background2" w:themeShade="BF"/>
          <w:sz w:val="26"/>
        </w:rPr>
        <w:t>nto</w:t>
      </w:r>
      <w:r w:rsidRPr="009E1DEC">
        <w:rPr>
          <w:rFonts w:ascii="Calibri" w:hAnsi="Calibri"/>
          <w:color w:val="AEAAAA" w:themeColor="background2" w:themeShade="BF"/>
          <w:sz w:val="26"/>
        </w:rPr>
        <w:t xml:space="preserve">s </w:t>
      </w:r>
      <w:r w:rsidR="002875BB">
        <w:rPr>
          <w:rFonts w:ascii="Calibri" w:hAnsi="Calibri"/>
          <w:color w:val="AEAAAA" w:themeColor="background2" w:themeShade="BF"/>
          <w:sz w:val="26"/>
        </w:rPr>
        <w:t xml:space="preserve">dieciséis mil </w:t>
      </w:r>
      <w:r w:rsidRPr="009E1DEC">
        <w:rPr>
          <w:rFonts w:ascii="Calibri" w:hAnsi="Calibri"/>
          <w:color w:val="AEAAAA" w:themeColor="background2" w:themeShade="BF"/>
          <w:sz w:val="26"/>
        </w:rPr>
        <w:t>ciento n</w:t>
      </w:r>
      <w:r w:rsidR="002875BB">
        <w:rPr>
          <w:rFonts w:ascii="Calibri" w:hAnsi="Calibri"/>
          <w:color w:val="AEAAAA" w:themeColor="background2" w:themeShade="BF"/>
          <w:sz w:val="26"/>
        </w:rPr>
        <w:t>oven</w:t>
      </w:r>
      <w:r w:rsidRPr="009E1DEC">
        <w:rPr>
          <w:rFonts w:ascii="Calibri" w:hAnsi="Calibri"/>
          <w:color w:val="AEAAAA" w:themeColor="background2" w:themeShade="BF"/>
          <w:sz w:val="26"/>
        </w:rPr>
        <w:t>t</w:t>
      </w:r>
      <w:r w:rsidR="002875BB">
        <w:rPr>
          <w:rFonts w:ascii="Calibri" w:hAnsi="Calibri"/>
          <w:color w:val="AEAAAA" w:themeColor="background2" w:themeShade="BF"/>
          <w:sz w:val="26"/>
        </w:rPr>
        <w:t>a y cuatr</w:t>
      </w:r>
      <w:r w:rsidRPr="009E1DEC">
        <w:rPr>
          <w:rFonts w:ascii="Calibri" w:hAnsi="Calibri"/>
          <w:color w:val="AEAAAA" w:themeColor="background2" w:themeShade="BF"/>
          <w:sz w:val="26"/>
        </w:rPr>
        <w:t xml:space="preserve">o pesos </w:t>
      </w:r>
      <w:r w:rsidR="002875BB">
        <w:rPr>
          <w:rFonts w:ascii="Calibri" w:hAnsi="Calibri"/>
          <w:color w:val="AEAAAA" w:themeColor="background2" w:themeShade="BF"/>
          <w:sz w:val="26"/>
        </w:rPr>
        <w:t>42</w:t>
      </w:r>
      <w:r w:rsidRPr="009E1DEC">
        <w:rPr>
          <w:rFonts w:ascii="Calibri" w:hAnsi="Calibri"/>
          <w:color w:val="AEAAAA" w:themeColor="background2" w:themeShade="BF"/>
          <w:sz w:val="26"/>
        </w:rPr>
        <w:t>/100 Moneda Nacional</w:t>
      </w:r>
      <w:r w:rsidR="002875BB">
        <w:rPr>
          <w:rFonts w:ascii="Calibri" w:hAnsi="Calibri"/>
          <w:color w:val="AEAAAA" w:themeColor="background2" w:themeShade="BF"/>
          <w:sz w:val="26"/>
        </w:rPr>
        <w:t>)</w:t>
      </w:r>
      <w:r w:rsidRPr="009E1DEC">
        <w:rPr>
          <w:rFonts w:ascii="Calibri" w:hAnsi="Calibri"/>
          <w:color w:val="AEAAAA" w:themeColor="background2" w:themeShade="BF"/>
          <w:sz w:val="26"/>
        </w:rPr>
        <w:t xml:space="preserve">. . . . . . . </w:t>
      </w:r>
      <w:r w:rsidRPr="009E1DEC">
        <w:rPr>
          <w:rFonts w:ascii="Calibri" w:hAnsi="Calibri" w:cs="Arial"/>
          <w:color w:val="AEAAAA" w:themeColor="background2" w:themeShade="BF"/>
          <w:sz w:val="26"/>
          <w:szCs w:val="26"/>
        </w:rPr>
        <w:t>. . . . . . . . . . . . . . . .</w:t>
      </w:r>
      <w:r w:rsidR="00671AB4">
        <w:rPr>
          <w:rFonts w:ascii="Calibri" w:hAnsi="Calibri" w:cs="Arial"/>
          <w:color w:val="AEAAAA" w:themeColor="background2" w:themeShade="BF"/>
          <w:sz w:val="26"/>
          <w:szCs w:val="26"/>
        </w:rPr>
        <w:t xml:space="preserve"> . . . . </w:t>
      </w:r>
    </w:p>
    <w:p w:rsidR="009E1DEC" w:rsidRPr="00BB164D" w:rsidRDefault="009E1DEC" w:rsidP="009E1DEC">
      <w:pPr>
        <w:pStyle w:val="Sangra2detindependiente"/>
        <w:ind w:firstLine="0"/>
        <w:rPr>
          <w:rFonts w:ascii="Calibri" w:hAnsi="Calibri"/>
          <w:color w:val="AEAAAA" w:themeColor="background2" w:themeShade="BF"/>
          <w:sz w:val="26"/>
          <w:lang w:val="es-ES"/>
        </w:rPr>
      </w:pPr>
    </w:p>
    <w:p w:rsidR="009E1DEC" w:rsidRPr="009E1DEC" w:rsidRDefault="009E1DEC" w:rsidP="009E1DEC">
      <w:pPr>
        <w:pStyle w:val="Sangra2detindependiente"/>
        <w:rPr>
          <w:rFonts w:ascii="Calibri" w:hAnsi="Calibri"/>
          <w:color w:val="AEAAAA" w:themeColor="background2" w:themeShade="BF"/>
          <w:sz w:val="26"/>
        </w:rPr>
      </w:pPr>
      <w:r w:rsidRPr="009E1DEC">
        <w:rPr>
          <w:rFonts w:ascii="Calibri" w:hAnsi="Calibri"/>
          <w:color w:val="AEAAAA" w:themeColor="background2" w:themeShade="BF"/>
          <w:sz w:val="26"/>
        </w:rPr>
        <w:t xml:space="preserve">Avalúo y determinación de impuesto predial que el justiciable considera le causan agravio porque el avalúo carece de fundamento y motivo racional, a más de que </w:t>
      </w:r>
      <w:r w:rsidR="00BB164D">
        <w:rPr>
          <w:rFonts w:ascii="Calibri" w:hAnsi="Calibri"/>
          <w:color w:val="AEAAAA" w:themeColor="background2" w:themeShade="BF"/>
          <w:sz w:val="26"/>
        </w:rPr>
        <w:t>considera exagerado el valor del inmueble</w:t>
      </w:r>
      <w:r w:rsidRPr="009E1DEC">
        <w:rPr>
          <w:rFonts w:ascii="Calibri" w:hAnsi="Calibri"/>
          <w:color w:val="AEAAAA" w:themeColor="background2" w:themeShade="BF"/>
          <w:sz w:val="26"/>
        </w:rPr>
        <w:t>. . . . . . . . . . . . . . . . . .</w:t>
      </w:r>
      <w:r w:rsidR="00BB164D">
        <w:rPr>
          <w:rFonts w:ascii="Calibri" w:hAnsi="Calibri"/>
          <w:color w:val="AEAAAA" w:themeColor="background2" w:themeShade="BF"/>
          <w:sz w:val="26"/>
        </w:rPr>
        <w:t xml:space="preserve"> . . . . . . . . .</w:t>
      </w:r>
      <w:r w:rsidR="00DB1EE0">
        <w:rPr>
          <w:rFonts w:ascii="Calibri" w:hAnsi="Calibri"/>
          <w:color w:val="AEAAAA" w:themeColor="background2" w:themeShade="BF"/>
          <w:sz w:val="26"/>
        </w:rPr>
        <w:t xml:space="preserve"> </w:t>
      </w:r>
    </w:p>
    <w:p w:rsidR="009E1DEC" w:rsidRPr="009E1DEC" w:rsidRDefault="009E1DEC" w:rsidP="009E1DEC">
      <w:pPr>
        <w:pStyle w:val="Sangra2detindependiente"/>
        <w:rPr>
          <w:rFonts w:ascii="Calibri" w:hAnsi="Calibri"/>
          <w:color w:val="AEAAAA" w:themeColor="background2" w:themeShade="BF"/>
          <w:sz w:val="26"/>
        </w:rPr>
      </w:pPr>
    </w:p>
    <w:p w:rsidR="009E1DEC" w:rsidRPr="009E1DEC" w:rsidRDefault="009E1DEC" w:rsidP="009E1DEC">
      <w:pPr>
        <w:pStyle w:val="Sangra2detindependiente"/>
        <w:ind w:firstLine="0"/>
        <w:rPr>
          <w:rFonts w:ascii="Calibri" w:hAnsi="Calibri"/>
          <w:color w:val="AEAAAA" w:themeColor="background2" w:themeShade="BF"/>
          <w:sz w:val="26"/>
        </w:rPr>
      </w:pPr>
      <w:r w:rsidRPr="009E1DEC">
        <w:rPr>
          <w:rFonts w:ascii="Calibri" w:hAnsi="Calibri"/>
          <w:color w:val="AEAAAA" w:themeColor="background2" w:themeShade="BF"/>
          <w:sz w:val="26"/>
        </w:rPr>
        <w:tab/>
        <w:t xml:space="preserve">A lo expresado por el </w:t>
      </w:r>
      <w:proofErr w:type="spellStart"/>
      <w:r w:rsidRPr="009E1DEC">
        <w:rPr>
          <w:rFonts w:ascii="Calibri" w:hAnsi="Calibri"/>
          <w:color w:val="AEAAAA" w:themeColor="background2" w:themeShade="BF"/>
          <w:sz w:val="26"/>
        </w:rPr>
        <w:t>enjuiciante</w:t>
      </w:r>
      <w:proofErr w:type="spellEnd"/>
      <w:r w:rsidRPr="009E1DEC">
        <w:rPr>
          <w:rFonts w:ascii="Calibri" w:hAnsi="Calibri"/>
          <w:color w:val="AEAAAA" w:themeColor="background2" w:themeShade="BF"/>
          <w:sz w:val="26"/>
        </w:rPr>
        <w:t>, las demandadas argumentaron en lo general que es improcedente lo reclamado por el actor, porque los actos impugnados se encuentran debidamente fundados y motivados; además que omitió señalar los supuestos agravios que se le causan</w:t>
      </w:r>
      <w:r w:rsidR="00D809C1">
        <w:rPr>
          <w:rFonts w:ascii="Calibri" w:hAnsi="Calibri"/>
          <w:color w:val="AEAAAA" w:themeColor="background2" w:themeShade="BF"/>
          <w:sz w:val="26"/>
        </w:rPr>
        <w:t xml:space="preserve"> y que sí hubo orden de valuación</w:t>
      </w:r>
      <w:r w:rsidRPr="009E1DEC">
        <w:rPr>
          <w:rFonts w:ascii="Calibri" w:hAnsi="Calibri"/>
          <w:color w:val="AEAAAA" w:themeColor="background2" w:themeShade="BF"/>
          <w:sz w:val="26"/>
        </w:rPr>
        <w:t xml:space="preserve">. . . . . . . . . . . . . . . . . . . . . . . </w:t>
      </w:r>
      <w:r w:rsidR="00BB164D">
        <w:rPr>
          <w:rFonts w:ascii="Calibri" w:hAnsi="Calibri"/>
          <w:color w:val="AEAAAA" w:themeColor="background2" w:themeShade="BF"/>
          <w:sz w:val="26"/>
        </w:rPr>
        <w:t>.</w:t>
      </w:r>
      <w:r w:rsidR="00D809C1">
        <w:rPr>
          <w:rFonts w:ascii="Calibri" w:hAnsi="Calibri"/>
          <w:color w:val="AEAAAA" w:themeColor="background2" w:themeShade="BF"/>
          <w:sz w:val="26"/>
        </w:rPr>
        <w:t xml:space="preserve"> . . . . . . . . . . . . . . . . . . . . . . . . . . . . . . . . . . . . . </w:t>
      </w:r>
    </w:p>
    <w:p w:rsidR="009E1DEC" w:rsidRPr="009E1DEC" w:rsidRDefault="009E1DEC" w:rsidP="009E1DEC">
      <w:pPr>
        <w:pStyle w:val="Sangra2detindependiente"/>
        <w:ind w:firstLine="0"/>
        <w:rPr>
          <w:rFonts w:ascii="Calibri" w:hAnsi="Calibri"/>
          <w:color w:val="AEAAAA" w:themeColor="background2" w:themeShade="BF"/>
          <w:sz w:val="26"/>
        </w:rPr>
      </w:pPr>
    </w:p>
    <w:p w:rsidR="009E1DEC" w:rsidRPr="009E1DEC" w:rsidRDefault="009E1DEC" w:rsidP="009E1DEC">
      <w:pPr>
        <w:ind w:firstLine="708"/>
        <w:jc w:val="both"/>
        <w:rPr>
          <w:rFonts w:ascii="Calibri" w:hAnsi="Calibri" w:cs="Arial"/>
          <w:color w:val="AEAAAA" w:themeColor="background2" w:themeShade="BF"/>
          <w:sz w:val="26"/>
          <w:szCs w:val="26"/>
        </w:rPr>
      </w:pPr>
      <w:r w:rsidRPr="009E1DEC">
        <w:rPr>
          <w:rFonts w:ascii="Calibri" w:hAnsi="Calibri" w:cs="Calibri"/>
          <w:color w:val="AEAAAA" w:themeColor="background2" w:themeShade="BF"/>
          <w:sz w:val="26"/>
          <w:szCs w:val="26"/>
        </w:rPr>
        <w:t>Así las cosas, la “</w:t>
      </w:r>
      <w:proofErr w:type="spellStart"/>
      <w:r w:rsidR="00617714">
        <w:rPr>
          <w:rFonts w:ascii="Calibri" w:hAnsi="Calibri" w:cs="Calibri"/>
          <w:color w:val="AEAAAA" w:themeColor="background2" w:themeShade="BF"/>
          <w:sz w:val="26"/>
          <w:szCs w:val="26"/>
        </w:rPr>
        <w:t>l</w:t>
      </w:r>
      <w:r w:rsidRPr="009E1DEC">
        <w:rPr>
          <w:rFonts w:ascii="Calibri" w:hAnsi="Calibri" w:cs="Calibri"/>
          <w:color w:val="AEAAAA" w:themeColor="background2" w:themeShade="BF"/>
          <w:sz w:val="26"/>
          <w:szCs w:val="26"/>
        </w:rPr>
        <w:t>itis</w:t>
      </w:r>
      <w:proofErr w:type="spellEnd"/>
      <w:r w:rsidRPr="009E1DEC">
        <w:rPr>
          <w:rFonts w:ascii="Calibri" w:hAnsi="Calibri" w:cs="Calibri"/>
          <w:color w:val="AEAAAA" w:themeColor="background2" w:themeShade="BF"/>
          <w:sz w:val="26"/>
          <w:szCs w:val="26"/>
        </w:rPr>
        <w:t xml:space="preserve">” planteada se hace consistir en determinar la legalidad o ilegalidad del avalúo practicado al inmueble y de la determinación del </w:t>
      </w:r>
      <w:r w:rsidRPr="009E1DEC">
        <w:rPr>
          <w:rFonts w:ascii="Calibri" w:hAnsi="Calibri" w:cs="Calibri"/>
          <w:color w:val="AEAAAA" w:themeColor="background2" w:themeShade="BF"/>
          <w:sz w:val="26"/>
          <w:szCs w:val="26"/>
        </w:rPr>
        <w:lastRenderedPageBreak/>
        <w:t>impuesto predial, que se desprende de</w:t>
      </w:r>
      <w:r w:rsidR="00617714">
        <w:rPr>
          <w:rFonts w:ascii="Calibri" w:hAnsi="Calibri" w:cs="Calibri"/>
          <w:color w:val="AEAAAA" w:themeColor="background2" w:themeShade="BF"/>
          <w:sz w:val="26"/>
          <w:szCs w:val="26"/>
        </w:rPr>
        <w:t xml:space="preserve"> </w:t>
      </w:r>
      <w:r w:rsidRPr="009E1DEC">
        <w:rPr>
          <w:rFonts w:ascii="Calibri" w:hAnsi="Calibri" w:cs="Calibri"/>
          <w:color w:val="AEAAAA" w:themeColor="background2" w:themeShade="BF"/>
          <w:sz w:val="26"/>
          <w:szCs w:val="26"/>
        </w:rPr>
        <w:t>l</w:t>
      </w:r>
      <w:r w:rsidR="00617714">
        <w:rPr>
          <w:rFonts w:ascii="Calibri" w:hAnsi="Calibri" w:cs="Calibri"/>
          <w:color w:val="AEAAAA" w:themeColor="background2" w:themeShade="BF"/>
          <w:sz w:val="26"/>
          <w:szCs w:val="26"/>
        </w:rPr>
        <w:t>a</w:t>
      </w:r>
      <w:r w:rsidRPr="009E1DEC">
        <w:rPr>
          <w:rFonts w:ascii="Calibri" w:hAnsi="Calibri" w:cs="Calibri"/>
          <w:color w:val="AEAAAA" w:themeColor="background2" w:themeShade="BF"/>
          <w:sz w:val="26"/>
          <w:szCs w:val="26"/>
        </w:rPr>
        <w:t xml:space="preserve"> </w:t>
      </w:r>
      <w:r w:rsidR="00617714">
        <w:rPr>
          <w:rFonts w:ascii="Calibri" w:hAnsi="Calibri" w:cs="Calibri"/>
          <w:color w:val="AEAAAA" w:themeColor="background2" w:themeShade="BF"/>
          <w:sz w:val="26"/>
          <w:szCs w:val="26"/>
        </w:rPr>
        <w:t>notificación del resultado del avalúo</w:t>
      </w:r>
      <w:r w:rsidRPr="009E1DEC">
        <w:rPr>
          <w:rFonts w:ascii="Calibri" w:hAnsi="Calibri" w:cs="Calibri"/>
          <w:color w:val="AEAAAA" w:themeColor="background2" w:themeShade="BF"/>
          <w:sz w:val="26"/>
          <w:szCs w:val="26"/>
        </w:rPr>
        <w:t xml:space="preserve"> aportado por la parte </w:t>
      </w:r>
      <w:proofErr w:type="gramStart"/>
      <w:r w:rsidRPr="009E1DEC">
        <w:rPr>
          <w:rFonts w:ascii="Calibri" w:hAnsi="Calibri" w:cs="Calibri"/>
          <w:color w:val="AEAAAA" w:themeColor="background2" w:themeShade="BF"/>
          <w:sz w:val="26"/>
          <w:szCs w:val="26"/>
        </w:rPr>
        <w:t>actora .</w:t>
      </w:r>
      <w:proofErr w:type="gramEnd"/>
      <w:r w:rsidRPr="009E1DEC">
        <w:rPr>
          <w:rFonts w:ascii="Calibri" w:hAnsi="Calibri" w:cs="Calibri"/>
          <w:color w:val="AEAAAA" w:themeColor="background2" w:themeShade="BF"/>
          <w:sz w:val="26"/>
          <w:szCs w:val="26"/>
        </w:rPr>
        <w:t xml:space="preserve"> . . . . . . . </w:t>
      </w:r>
      <w:r w:rsidRPr="009E1DEC">
        <w:rPr>
          <w:rFonts w:ascii="Calibri" w:hAnsi="Calibri" w:cs="Arial"/>
          <w:color w:val="AEAAAA" w:themeColor="background2" w:themeShade="BF"/>
          <w:sz w:val="26"/>
          <w:szCs w:val="26"/>
        </w:rPr>
        <w:t>. . . . .</w:t>
      </w:r>
      <w:r w:rsidR="00617714">
        <w:rPr>
          <w:rFonts w:ascii="Calibri" w:hAnsi="Calibri" w:cs="Arial"/>
          <w:color w:val="AEAAAA" w:themeColor="background2" w:themeShade="BF"/>
          <w:sz w:val="26"/>
          <w:szCs w:val="26"/>
        </w:rPr>
        <w:t xml:space="preserve"> . . . . . . . . . . . . . .</w:t>
      </w:r>
      <w:r w:rsidR="00A427EF">
        <w:rPr>
          <w:rFonts w:ascii="Calibri" w:hAnsi="Calibri" w:cs="Arial"/>
          <w:color w:val="AEAAAA" w:themeColor="background2" w:themeShade="BF"/>
          <w:sz w:val="26"/>
          <w:szCs w:val="26"/>
        </w:rPr>
        <w:t xml:space="preserve"> . . . . . . . . . . . . . . . . . .</w:t>
      </w:r>
    </w:p>
    <w:p w:rsidR="009E1DEC" w:rsidRPr="009E1DEC" w:rsidRDefault="009E1DEC" w:rsidP="009E1DEC">
      <w:pPr>
        <w:pStyle w:val="Sangra2detindependiente"/>
        <w:rPr>
          <w:rFonts w:ascii="Calibri" w:hAnsi="Calibri"/>
          <w:color w:val="AEAAAA" w:themeColor="background2" w:themeShade="BF"/>
          <w:sz w:val="26"/>
        </w:rPr>
      </w:pPr>
      <w:r w:rsidRPr="009E1DEC">
        <w:rPr>
          <w:rFonts w:ascii="Calibri" w:hAnsi="Calibri" w:cs="Calibri"/>
          <w:color w:val="AEAAAA" w:themeColor="background2" w:themeShade="BF"/>
          <w:sz w:val="26"/>
          <w:szCs w:val="26"/>
        </w:rPr>
        <w:t xml:space="preserve">                                                                                                                                                                                                                                                                                                                                                                                                                                                                                                        </w:t>
      </w:r>
    </w:p>
    <w:p w:rsidR="009E1DEC" w:rsidRPr="009E1DEC" w:rsidRDefault="009E1DEC" w:rsidP="009E1DEC">
      <w:pPr>
        <w:pStyle w:val="Textoindependiente"/>
        <w:ind w:firstLine="708"/>
        <w:rPr>
          <w:rFonts w:ascii="Calibri" w:hAnsi="Calibri"/>
          <w:color w:val="AEAAAA" w:themeColor="background2" w:themeShade="BF"/>
          <w:sz w:val="26"/>
        </w:rPr>
      </w:pPr>
      <w:r w:rsidRPr="009E1DEC">
        <w:rPr>
          <w:rFonts w:ascii="Calibri" w:hAnsi="Calibri"/>
          <w:b/>
          <w:bCs/>
          <w:i/>
          <w:iCs/>
          <w:color w:val="AEAAAA" w:themeColor="background2" w:themeShade="BF"/>
          <w:sz w:val="26"/>
        </w:rPr>
        <w:t>SEXTO.-</w:t>
      </w:r>
      <w:r w:rsidRPr="009E1DEC">
        <w:rPr>
          <w:rFonts w:ascii="Calibri" w:hAnsi="Calibri"/>
          <w:color w:val="AEAAAA" w:themeColor="background2" w:themeShade="BF"/>
          <w:sz w:val="26"/>
        </w:rPr>
        <w:t xml:space="preserve"> No existiendo impedimento legal, se procede al estudio de los conceptos de impugnación expresados por el actor en su escrito de demanda. . . </w:t>
      </w:r>
      <w:r w:rsidR="00D809C1">
        <w:rPr>
          <w:rFonts w:ascii="Calibri" w:hAnsi="Calibri"/>
          <w:color w:val="AEAAAA" w:themeColor="background2" w:themeShade="BF"/>
          <w:sz w:val="26"/>
        </w:rPr>
        <w:t>.</w:t>
      </w:r>
    </w:p>
    <w:p w:rsidR="009E1DEC" w:rsidRPr="009E1DEC" w:rsidRDefault="009E1DEC" w:rsidP="009E1DEC">
      <w:pPr>
        <w:pStyle w:val="Textoindependiente"/>
        <w:rPr>
          <w:rFonts w:ascii="Calibri" w:hAnsi="Calibri"/>
          <w:color w:val="AEAAAA" w:themeColor="background2" w:themeShade="BF"/>
          <w:sz w:val="26"/>
          <w:szCs w:val="27"/>
        </w:rPr>
      </w:pPr>
    </w:p>
    <w:p w:rsidR="009E1DEC" w:rsidRPr="00967DFD" w:rsidRDefault="009E1DEC" w:rsidP="00967DFD">
      <w:pPr>
        <w:pStyle w:val="Textoindependiente"/>
        <w:ind w:firstLine="708"/>
        <w:rPr>
          <w:rFonts w:ascii="Calibri" w:hAnsi="Calibri"/>
          <w:i/>
          <w:color w:val="AEAAAA" w:themeColor="background2" w:themeShade="BF"/>
          <w:sz w:val="26"/>
          <w:szCs w:val="27"/>
        </w:rPr>
      </w:pPr>
      <w:r w:rsidRPr="009E1DEC">
        <w:rPr>
          <w:rFonts w:ascii="Calibri" w:hAnsi="Calibri"/>
          <w:color w:val="AEAAAA" w:themeColor="background2" w:themeShade="BF"/>
          <w:sz w:val="26"/>
          <w:szCs w:val="27"/>
        </w:rPr>
        <w:t xml:space="preserve">Así las cosas, en el </w:t>
      </w:r>
      <w:r w:rsidRPr="009E1DEC">
        <w:rPr>
          <w:rFonts w:ascii="Calibri" w:hAnsi="Calibri"/>
          <w:b/>
          <w:bCs/>
          <w:color w:val="AEAAAA" w:themeColor="background2" w:themeShade="BF"/>
          <w:sz w:val="26"/>
          <w:szCs w:val="27"/>
        </w:rPr>
        <w:t>único</w:t>
      </w:r>
      <w:r w:rsidRPr="009E1DEC">
        <w:rPr>
          <w:rFonts w:ascii="Calibri" w:hAnsi="Calibri"/>
          <w:b/>
          <w:color w:val="AEAAAA" w:themeColor="background2" w:themeShade="BF"/>
          <w:sz w:val="26"/>
          <w:szCs w:val="27"/>
        </w:rPr>
        <w:t xml:space="preserve"> </w:t>
      </w:r>
      <w:r w:rsidRPr="009E1DEC">
        <w:rPr>
          <w:rFonts w:ascii="Calibri" w:hAnsi="Calibri"/>
          <w:color w:val="AEAAAA" w:themeColor="background2" w:themeShade="BF"/>
          <w:sz w:val="26"/>
          <w:szCs w:val="27"/>
        </w:rPr>
        <w:t xml:space="preserve">concepto de impugnación del escrito de demanda, en un primer término, el impetrante expuso: </w:t>
      </w:r>
      <w:r w:rsidRPr="009E1DEC">
        <w:rPr>
          <w:rFonts w:ascii="Calibri" w:hAnsi="Calibri"/>
          <w:b/>
          <w:i/>
          <w:color w:val="AEAAAA" w:themeColor="background2" w:themeShade="BF"/>
          <w:sz w:val="26"/>
          <w:szCs w:val="27"/>
        </w:rPr>
        <w:t>“</w:t>
      </w:r>
      <w:r w:rsidRPr="009E1DEC">
        <w:rPr>
          <w:rFonts w:ascii="Calibri" w:hAnsi="Calibri"/>
          <w:i/>
          <w:color w:val="AEAAAA" w:themeColor="background2" w:themeShade="BF"/>
          <w:sz w:val="26"/>
          <w:szCs w:val="27"/>
        </w:rPr>
        <w:t>El avalúo carece de fundamento conducente y de motivo racional. En realidad…….no indica ni siquiera los elementos de juicio para determinar el valor que le atribuyen al inmueble…….</w:t>
      </w:r>
      <w:r w:rsidRPr="009E1DEC">
        <w:rPr>
          <w:rFonts w:ascii="Calibri" w:hAnsi="Calibri"/>
          <w:b/>
          <w:i/>
          <w:color w:val="AEAAAA" w:themeColor="background2" w:themeShade="BF"/>
          <w:sz w:val="26"/>
          <w:szCs w:val="27"/>
        </w:rPr>
        <w:t>”</w:t>
      </w:r>
      <w:r w:rsidRPr="009E1DEC">
        <w:rPr>
          <w:rFonts w:ascii="Calibri" w:hAnsi="Calibri"/>
          <w:color w:val="AEAAAA" w:themeColor="background2" w:themeShade="BF"/>
          <w:sz w:val="26"/>
          <w:szCs w:val="27"/>
        </w:rPr>
        <w:t xml:space="preserve">. . . </w:t>
      </w:r>
      <w:r w:rsidR="00967DFD">
        <w:rPr>
          <w:rFonts w:ascii="Calibri" w:hAnsi="Calibri"/>
          <w:color w:val="AEAAAA" w:themeColor="background2" w:themeShade="BF"/>
          <w:sz w:val="26"/>
          <w:szCs w:val="27"/>
        </w:rPr>
        <w:t xml:space="preserve">. . . . . . . . . . </w:t>
      </w:r>
      <w:r w:rsidR="00A427EF">
        <w:rPr>
          <w:rFonts w:ascii="Calibri" w:hAnsi="Calibri"/>
          <w:color w:val="AEAAAA" w:themeColor="background2" w:themeShade="BF"/>
          <w:sz w:val="26"/>
          <w:szCs w:val="27"/>
        </w:rPr>
        <w:t xml:space="preserve">. . . . . . . . . . . . . . . . . . . . . . . . . . . . . . . . . . . . . . . . . . . . </w:t>
      </w:r>
    </w:p>
    <w:p w:rsidR="009E1DEC" w:rsidRPr="009E1DEC" w:rsidRDefault="009E1DEC" w:rsidP="009E1DEC">
      <w:pPr>
        <w:pStyle w:val="Textoindependiente"/>
        <w:ind w:firstLine="708"/>
        <w:rPr>
          <w:rFonts w:ascii="Calibri" w:hAnsi="Calibri"/>
          <w:color w:val="AEAAAA" w:themeColor="background2" w:themeShade="BF"/>
          <w:sz w:val="26"/>
          <w:szCs w:val="27"/>
        </w:rPr>
      </w:pPr>
    </w:p>
    <w:p w:rsidR="00A427EF" w:rsidRDefault="009E1DEC" w:rsidP="009E1DEC">
      <w:pPr>
        <w:pStyle w:val="Textoindependiente"/>
        <w:ind w:firstLine="708"/>
        <w:rPr>
          <w:rFonts w:ascii="Calibri" w:hAnsi="Calibri"/>
          <w:i/>
          <w:color w:val="AEAAAA" w:themeColor="background2" w:themeShade="BF"/>
          <w:sz w:val="26"/>
          <w:szCs w:val="27"/>
        </w:rPr>
      </w:pPr>
      <w:r w:rsidRPr="009E1DEC">
        <w:rPr>
          <w:rFonts w:ascii="Calibri" w:hAnsi="Calibri"/>
          <w:color w:val="AEAAAA" w:themeColor="background2" w:themeShade="BF"/>
          <w:sz w:val="26"/>
          <w:szCs w:val="27"/>
        </w:rPr>
        <w:t xml:space="preserve">En un segundo término, el actor resalta: </w:t>
      </w:r>
      <w:r w:rsidRPr="009E1DEC">
        <w:rPr>
          <w:rFonts w:ascii="Calibri" w:hAnsi="Calibri"/>
          <w:i/>
          <w:color w:val="AEAAAA" w:themeColor="background2" w:themeShade="BF"/>
          <w:sz w:val="26"/>
          <w:szCs w:val="27"/>
        </w:rPr>
        <w:t xml:space="preserve">“…No se funda en ningún artículo de ley ni la hechura ni la realización del avalúo ya que la ley no considera la </w:t>
      </w:r>
    </w:p>
    <w:p w:rsidR="00A427EF" w:rsidRDefault="00A427EF" w:rsidP="00A427EF">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590/2014-JN</w:t>
      </w:r>
    </w:p>
    <w:p w:rsidR="00A427EF" w:rsidRDefault="00A427EF" w:rsidP="009E1DEC">
      <w:pPr>
        <w:pStyle w:val="Textoindependiente"/>
        <w:ind w:firstLine="708"/>
        <w:rPr>
          <w:rFonts w:ascii="Calibri" w:hAnsi="Calibri"/>
          <w:i/>
          <w:color w:val="AEAAAA" w:themeColor="background2" w:themeShade="BF"/>
          <w:sz w:val="26"/>
          <w:szCs w:val="27"/>
        </w:rPr>
      </w:pPr>
    </w:p>
    <w:p w:rsidR="009E1DEC" w:rsidRPr="009E1DEC" w:rsidRDefault="009E1DEC" w:rsidP="00A427EF">
      <w:pPr>
        <w:pStyle w:val="Textoindependiente"/>
        <w:rPr>
          <w:rFonts w:ascii="Calibri" w:hAnsi="Calibri"/>
          <w:color w:val="AEAAAA" w:themeColor="background2" w:themeShade="BF"/>
          <w:sz w:val="26"/>
          <w:szCs w:val="27"/>
        </w:rPr>
      </w:pPr>
      <w:proofErr w:type="gramStart"/>
      <w:r w:rsidRPr="009E1DEC">
        <w:rPr>
          <w:rFonts w:ascii="Calibri" w:hAnsi="Calibri"/>
          <w:i/>
          <w:color w:val="AEAAAA" w:themeColor="background2" w:themeShade="BF"/>
          <w:sz w:val="26"/>
          <w:szCs w:val="27"/>
        </w:rPr>
        <w:t>realización</w:t>
      </w:r>
      <w:proofErr w:type="gramEnd"/>
      <w:r w:rsidRPr="009E1DEC">
        <w:rPr>
          <w:rFonts w:ascii="Calibri" w:hAnsi="Calibri"/>
          <w:i/>
          <w:color w:val="AEAAAA" w:themeColor="background2" w:themeShade="BF"/>
          <w:sz w:val="26"/>
          <w:szCs w:val="27"/>
        </w:rPr>
        <w:t xml:space="preserve"> “Ad libitum” sino que solo puede realizarse en los casos y con las condiciones que la misma ley señala…”</w:t>
      </w:r>
      <w:r w:rsidRPr="009E1DEC">
        <w:rPr>
          <w:rFonts w:ascii="Calibri" w:hAnsi="Calibri"/>
          <w:color w:val="AEAAAA" w:themeColor="background2" w:themeShade="BF"/>
          <w:sz w:val="26"/>
          <w:szCs w:val="27"/>
        </w:rPr>
        <w:t>. . . . . . . . . . . . . . . . . . . . . . . .</w:t>
      </w:r>
      <w:r w:rsidR="00A427EF">
        <w:rPr>
          <w:rFonts w:ascii="Calibri" w:hAnsi="Calibri"/>
          <w:color w:val="AEAAAA" w:themeColor="background2" w:themeShade="BF"/>
          <w:sz w:val="26"/>
          <w:szCs w:val="27"/>
        </w:rPr>
        <w:t xml:space="preserve"> . . . . . . . . . . . . </w:t>
      </w:r>
    </w:p>
    <w:p w:rsidR="009E1DEC" w:rsidRPr="009E1DEC" w:rsidRDefault="009E1DEC" w:rsidP="009E1DEC">
      <w:pPr>
        <w:pStyle w:val="Textoindependiente"/>
        <w:rPr>
          <w:rFonts w:ascii="Calibri" w:hAnsi="Calibri"/>
          <w:i/>
          <w:iCs/>
          <w:color w:val="AEAAAA" w:themeColor="background2" w:themeShade="BF"/>
          <w:sz w:val="26"/>
          <w:szCs w:val="27"/>
        </w:rPr>
      </w:pPr>
    </w:p>
    <w:p w:rsidR="00967DFD" w:rsidRPr="00FA54B4" w:rsidRDefault="009E1DEC" w:rsidP="00FA54B4">
      <w:pPr>
        <w:pStyle w:val="Sangra3detindependiente"/>
        <w:rPr>
          <w:color w:val="AEAAAA" w:themeColor="background2" w:themeShade="BF"/>
          <w:szCs w:val="26"/>
        </w:rPr>
      </w:pPr>
      <w:r w:rsidRPr="009E1DEC">
        <w:rPr>
          <w:color w:val="AEAAAA" w:themeColor="background2" w:themeShade="BF"/>
          <w:szCs w:val="26"/>
        </w:rPr>
        <w:t>Por su parte, las autoridades demandadas, en relación a lo expresado por el actor, sólo refirieron que los agravios son notoriamente falsos e improcedentes; que no se le causa agravio porque existe orden de valuación; sosteniendo la legalidad de lo actuado. . . . . . . . . . . . . . . . . . . . . . . . . . . .</w:t>
      </w:r>
      <w:r w:rsidR="00A427EF">
        <w:rPr>
          <w:color w:val="AEAAAA" w:themeColor="background2" w:themeShade="BF"/>
          <w:szCs w:val="26"/>
        </w:rPr>
        <w:t xml:space="preserve"> . . . . . . . . .</w:t>
      </w:r>
    </w:p>
    <w:p w:rsidR="00967DFD" w:rsidRDefault="00967DFD" w:rsidP="009E1DEC">
      <w:pPr>
        <w:pStyle w:val="Textoindependiente"/>
        <w:ind w:firstLine="708"/>
        <w:rPr>
          <w:rFonts w:ascii="Calibri" w:hAnsi="Calibri" w:cs="Arial"/>
          <w:color w:val="AEAAAA" w:themeColor="background2" w:themeShade="BF"/>
          <w:sz w:val="26"/>
          <w:szCs w:val="26"/>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Analizado lo expresado por las partes, así como el contenido de los actos impugnados, concretamente el avalúo realizado el </w:t>
      </w:r>
      <w:r w:rsidR="00967DFD">
        <w:rPr>
          <w:rFonts w:ascii="Calibri" w:hAnsi="Calibri" w:cs="Arial"/>
          <w:color w:val="AEAAAA" w:themeColor="background2" w:themeShade="BF"/>
          <w:sz w:val="26"/>
          <w:szCs w:val="26"/>
        </w:rPr>
        <w:t>4</w:t>
      </w:r>
      <w:r w:rsidRPr="009E1DEC">
        <w:rPr>
          <w:rFonts w:ascii="Calibri" w:hAnsi="Calibri" w:cs="Arial"/>
          <w:color w:val="AEAAAA" w:themeColor="background2" w:themeShade="BF"/>
          <w:sz w:val="26"/>
          <w:szCs w:val="26"/>
        </w:rPr>
        <w:t xml:space="preserve"> c</w:t>
      </w:r>
      <w:r w:rsidR="00967DFD">
        <w:rPr>
          <w:rFonts w:ascii="Calibri" w:hAnsi="Calibri" w:cs="Arial"/>
          <w:color w:val="AEAAAA" w:themeColor="background2" w:themeShade="BF"/>
          <w:sz w:val="26"/>
          <w:szCs w:val="26"/>
        </w:rPr>
        <w:t>uatr</w:t>
      </w:r>
      <w:r w:rsidRPr="009E1DEC">
        <w:rPr>
          <w:rFonts w:ascii="Calibri" w:hAnsi="Calibri" w:cs="Arial"/>
          <w:color w:val="AEAAAA" w:themeColor="background2" w:themeShade="BF"/>
          <w:sz w:val="26"/>
          <w:szCs w:val="26"/>
        </w:rPr>
        <w:t xml:space="preserve">o de </w:t>
      </w:r>
      <w:r w:rsidR="00967DFD">
        <w:rPr>
          <w:rFonts w:ascii="Calibri" w:hAnsi="Calibri" w:cs="Arial"/>
          <w:color w:val="AEAAAA" w:themeColor="background2" w:themeShade="BF"/>
          <w:sz w:val="26"/>
          <w:szCs w:val="26"/>
        </w:rPr>
        <w:t>jul</w:t>
      </w:r>
      <w:r w:rsidRPr="009E1DEC">
        <w:rPr>
          <w:rFonts w:ascii="Calibri" w:hAnsi="Calibri" w:cs="Arial"/>
          <w:color w:val="AEAAAA" w:themeColor="background2" w:themeShade="BF"/>
          <w:sz w:val="26"/>
          <w:szCs w:val="26"/>
        </w:rPr>
        <w:t>i</w:t>
      </w:r>
      <w:r w:rsidR="00967DFD">
        <w:rPr>
          <w:rFonts w:ascii="Calibri" w:hAnsi="Calibri" w:cs="Arial"/>
          <w:color w:val="AEAAAA" w:themeColor="background2" w:themeShade="BF"/>
          <w:sz w:val="26"/>
          <w:szCs w:val="26"/>
        </w:rPr>
        <w:t>o</w:t>
      </w:r>
      <w:r w:rsidRPr="009E1DEC">
        <w:rPr>
          <w:rFonts w:ascii="Calibri" w:hAnsi="Calibri" w:cs="Arial"/>
          <w:color w:val="AEAAAA" w:themeColor="background2" w:themeShade="BF"/>
          <w:sz w:val="26"/>
          <w:szCs w:val="26"/>
        </w:rPr>
        <w:t xml:space="preserve"> del año 2014 dos mil catorce (foja 3 tres del expediente); así como las constancias que obran en este sumario, este Juzgador considera que es </w:t>
      </w:r>
      <w:r w:rsidRPr="009E1DEC">
        <w:rPr>
          <w:rFonts w:ascii="Calibri" w:hAnsi="Calibri" w:cs="Arial"/>
          <w:b/>
          <w:bCs/>
          <w:color w:val="AEAAAA" w:themeColor="background2" w:themeShade="BF"/>
          <w:sz w:val="26"/>
          <w:szCs w:val="26"/>
        </w:rPr>
        <w:t>fundado</w:t>
      </w:r>
      <w:r w:rsidRPr="009E1DEC">
        <w:rPr>
          <w:rFonts w:ascii="Calibri" w:hAnsi="Calibri" w:cs="Arial"/>
          <w:color w:val="AEAAAA" w:themeColor="background2" w:themeShade="BF"/>
          <w:sz w:val="26"/>
          <w:szCs w:val="26"/>
        </w:rPr>
        <w:t xml:space="preserve"> el concepto de impugnación que se examina, toda vez que tal avalúo no se encuentra debidamente fundado y motivado, por las razones siguientes: . . . . . . . . . . . . . . . . </w:t>
      </w:r>
    </w:p>
    <w:p w:rsidR="009E1DEC" w:rsidRPr="009E1DEC" w:rsidRDefault="009E1DEC" w:rsidP="00A427EF">
      <w:pPr>
        <w:pStyle w:val="Textoindependiente"/>
        <w:rPr>
          <w:rFonts w:ascii="Calibri" w:hAnsi="Calibri" w:cs="Arial"/>
          <w:color w:val="AEAAAA" w:themeColor="background2" w:themeShade="BF"/>
          <w:sz w:val="26"/>
          <w:szCs w:val="26"/>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No se encuentra debidamente fundado ni motivado, pues en el cuerpo del propio avalúo, no se </w:t>
      </w:r>
      <w:r w:rsidR="00086ACD">
        <w:rPr>
          <w:rFonts w:ascii="Calibri" w:hAnsi="Calibri" w:cs="Arial"/>
          <w:color w:val="AEAAAA" w:themeColor="background2" w:themeShade="BF"/>
          <w:sz w:val="26"/>
          <w:szCs w:val="26"/>
        </w:rPr>
        <w:t>explicaron los conceptos o factores tomados en cuenta;</w:t>
      </w:r>
      <w:r w:rsidRPr="009E1DEC">
        <w:rPr>
          <w:rFonts w:ascii="Calibri" w:hAnsi="Calibri" w:cs="Arial"/>
          <w:color w:val="AEAAAA" w:themeColor="background2" w:themeShade="BF"/>
          <w:sz w:val="26"/>
          <w:szCs w:val="26"/>
        </w:rPr>
        <w:t xml:space="preserve"> </w:t>
      </w:r>
      <w:r w:rsidR="00086ACD">
        <w:rPr>
          <w:rFonts w:ascii="Calibri" w:hAnsi="Calibri" w:cs="Arial"/>
          <w:color w:val="AEAAAA" w:themeColor="background2" w:themeShade="BF"/>
          <w:sz w:val="26"/>
          <w:szCs w:val="26"/>
        </w:rPr>
        <w:t xml:space="preserve">pues en el caso del cálculo del valor del terreno, solo se </w:t>
      </w:r>
      <w:r w:rsidRPr="009E1DEC">
        <w:rPr>
          <w:rFonts w:ascii="Calibri" w:hAnsi="Calibri" w:cs="Arial"/>
          <w:color w:val="AEAAAA" w:themeColor="background2" w:themeShade="BF"/>
          <w:sz w:val="26"/>
          <w:szCs w:val="26"/>
        </w:rPr>
        <w:t>ref</w:t>
      </w:r>
      <w:r w:rsidR="00086ACD">
        <w:rPr>
          <w:rFonts w:ascii="Calibri" w:hAnsi="Calibri" w:cs="Arial"/>
          <w:color w:val="AEAAAA" w:themeColor="background2" w:themeShade="BF"/>
          <w:sz w:val="26"/>
          <w:szCs w:val="26"/>
        </w:rPr>
        <w:t>i</w:t>
      </w:r>
      <w:r w:rsidRPr="009E1DEC">
        <w:rPr>
          <w:rFonts w:ascii="Calibri" w:hAnsi="Calibri" w:cs="Arial"/>
          <w:color w:val="AEAAAA" w:themeColor="background2" w:themeShade="BF"/>
          <w:sz w:val="26"/>
          <w:szCs w:val="26"/>
        </w:rPr>
        <w:t>ri</w:t>
      </w:r>
      <w:r w:rsidR="00086ACD">
        <w:rPr>
          <w:rFonts w:ascii="Calibri" w:hAnsi="Calibri" w:cs="Arial"/>
          <w:color w:val="AEAAAA" w:themeColor="background2" w:themeShade="BF"/>
          <w:sz w:val="26"/>
          <w:szCs w:val="26"/>
        </w:rPr>
        <w:t>er</w:t>
      </w:r>
      <w:r w:rsidRPr="009E1DEC">
        <w:rPr>
          <w:rFonts w:ascii="Calibri" w:hAnsi="Calibri" w:cs="Arial"/>
          <w:color w:val="AEAAAA" w:themeColor="background2" w:themeShade="BF"/>
          <w:sz w:val="26"/>
          <w:szCs w:val="26"/>
        </w:rPr>
        <w:t>o</w:t>
      </w:r>
      <w:r w:rsidR="00086ACD">
        <w:rPr>
          <w:rFonts w:ascii="Calibri" w:hAnsi="Calibri" w:cs="Arial"/>
          <w:color w:val="AEAAAA" w:themeColor="background2" w:themeShade="BF"/>
          <w:sz w:val="26"/>
          <w:szCs w:val="26"/>
        </w:rPr>
        <w:t>n</w:t>
      </w:r>
      <w:r w:rsidRPr="009E1DEC">
        <w:rPr>
          <w:rFonts w:ascii="Calibri" w:hAnsi="Calibri" w:cs="Arial"/>
          <w:color w:val="AEAAAA" w:themeColor="background2" w:themeShade="BF"/>
          <w:sz w:val="26"/>
          <w:szCs w:val="26"/>
        </w:rPr>
        <w:t xml:space="preserve"> como F</w:t>
      </w:r>
      <w:r w:rsidR="00086ACD">
        <w:rPr>
          <w:rFonts w:ascii="Calibri" w:hAnsi="Calibri" w:cs="Arial"/>
          <w:color w:val="AEAAAA" w:themeColor="background2" w:themeShade="BF"/>
          <w:sz w:val="26"/>
          <w:szCs w:val="26"/>
        </w:rPr>
        <w:t>/Ag.</w:t>
      </w:r>
      <w:r w:rsidRPr="009E1DEC">
        <w:rPr>
          <w:rFonts w:ascii="Calibri" w:hAnsi="Calibri" w:cs="Arial"/>
          <w:color w:val="AEAAAA" w:themeColor="background2" w:themeShade="BF"/>
          <w:sz w:val="26"/>
          <w:szCs w:val="26"/>
        </w:rPr>
        <w:t xml:space="preserve">, </w:t>
      </w:r>
      <w:r w:rsidR="00086ACD">
        <w:rPr>
          <w:rFonts w:ascii="Calibri" w:hAnsi="Calibri" w:cs="Arial"/>
          <w:color w:val="AEAAAA" w:themeColor="background2" w:themeShade="BF"/>
          <w:sz w:val="26"/>
          <w:szCs w:val="26"/>
        </w:rPr>
        <w:t>E/Su</w:t>
      </w:r>
      <w:r w:rsidRPr="009E1DEC">
        <w:rPr>
          <w:rFonts w:ascii="Calibri" w:hAnsi="Calibri" w:cs="Arial"/>
          <w:color w:val="AEAAAA" w:themeColor="background2" w:themeShade="BF"/>
          <w:sz w:val="26"/>
          <w:szCs w:val="26"/>
        </w:rPr>
        <w:t xml:space="preserve">, </w:t>
      </w:r>
      <w:proofErr w:type="spellStart"/>
      <w:r w:rsidR="00086ACD">
        <w:rPr>
          <w:rFonts w:ascii="Calibri" w:hAnsi="Calibri" w:cs="Arial"/>
          <w:color w:val="AEAAAA" w:themeColor="background2" w:themeShade="BF"/>
          <w:sz w:val="26"/>
          <w:szCs w:val="26"/>
        </w:rPr>
        <w:t>Fjr</w:t>
      </w:r>
      <w:proofErr w:type="spellEnd"/>
      <w:r w:rsidRPr="009E1DEC">
        <w:rPr>
          <w:rFonts w:ascii="Calibri" w:hAnsi="Calibri" w:cs="Arial"/>
          <w:color w:val="AEAAAA" w:themeColor="background2" w:themeShade="BF"/>
          <w:sz w:val="26"/>
          <w:szCs w:val="26"/>
        </w:rPr>
        <w:t xml:space="preserve">, </w:t>
      </w:r>
      <w:r w:rsidR="00086ACD">
        <w:rPr>
          <w:rFonts w:ascii="Calibri" w:hAnsi="Calibri" w:cs="Arial"/>
          <w:color w:val="AEAAAA" w:themeColor="background2" w:themeShade="BF"/>
          <w:sz w:val="26"/>
          <w:szCs w:val="26"/>
        </w:rPr>
        <w:t>sin que quede claro que significan</w:t>
      </w:r>
      <w:r w:rsidRPr="009E1DEC">
        <w:rPr>
          <w:rFonts w:ascii="Calibri" w:hAnsi="Calibri" w:cs="Arial"/>
          <w:color w:val="AEAAAA" w:themeColor="background2" w:themeShade="BF"/>
          <w:sz w:val="26"/>
          <w:szCs w:val="26"/>
        </w:rPr>
        <w:t xml:space="preserve">; y, </w:t>
      </w:r>
      <w:r w:rsidR="00086ACD">
        <w:rPr>
          <w:rFonts w:ascii="Calibri" w:hAnsi="Calibri" w:cs="Arial"/>
          <w:color w:val="AEAAAA" w:themeColor="background2" w:themeShade="BF"/>
          <w:sz w:val="26"/>
          <w:szCs w:val="26"/>
        </w:rPr>
        <w:t xml:space="preserve">en cuanto al valor de las construcciones, no se señaló </w:t>
      </w:r>
      <w:r w:rsidRPr="009E1DEC">
        <w:rPr>
          <w:rFonts w:ascii="Calibri" w:hAnsi="Calibri" w:cs="Arial"/>
          <w:color w:val="AEAAAA" w:themeColor="background2" w:themeShade="BF"/>
          <w:sz w:val="26"/>
          <w:szCs w:val="26"/>
        </w:rPr>
        <w:t>la causa o motivo que se tuvo para determinar como valor unitario, la cantidad de $</w:t>
      </w:r>
      <w:r w:rsidR="00086ACD">
        <w:rPr>
          <w:rFonts w:ascii="Calibri" w:hAnsi="Calibri" w:cs="Arial"/>
          <w:color w:val="AEAAAA" w:themeColor="background2" w:themeShade="BF"/>
          <w:sz w:val="26"/>
          <w:szCs w:val="26"/>
        </w:rPr>
        <w:t>4,043.02</w:t>
      </w:r>
      <w:r w:rsidRPr="009E1DEC">
        <w:rPr>
          <w:rFonts w:ascii="Calibri" w:hAnsi="Calibri" w:cs="Arial"/>
          <w:color w:val="AEAAAA" w:themeColor="background2" w:themeShade="BF"/>
          <w:sz w:val="26"/>
          <w:szCs w:val="26"/>
        </w:rPr>
        <w:t xml:space="preserve"> (</w:t>
      </w:r>
      <w:r w:rsidR="00086ACD">
        <w:rPr>
          <w:rFonts w:ascii="Calibri" w:hAnsi="Calibri" w:cs="Arial"/>
          <w:color w:val="AEAAAA" w:themeColor="background2" w:themeShade="BF"/>
          <w:sz w:val="26"/>
          <w:szCs w:val="26"/>
        </w:rPr>
        <w:t>Cuatro mil cuarenta y tres</w:t>
      </w:r>
      <w:r w:rsidRPr="009E1DEC">
        <w:rPr>
          <w:rFonts w:ascii="Calibri" w:hAnsi="Calibri" w:cs="Arial"/>
          <w:color w:val="AEAAAA" w:themeColor="background2" w:themeShade="BF"/>
          <w:sz w:val="26"/>
          <w:szCs w:val="26"/>
        </w:rPr>
        <w:t xml:space="preserve"> pesos 0</w:t>
      </w:r>
      <w:r w:rsidR="00086ACD">
        <w:rPr>
          <w:rFonts w:ascii="Calibri" w:hAnsi="Calibri" w:cs="Arial"/>
          <w:color w:val="AEAAAA" w:themeColor="background2" w:themeShade="BF"/>
          <w:sz w:val="26"/>
          <w:szCs w:val="26"/>
        </w:rPr>
        <w:t>2</w:t>
      </w:r>
      <w:r w:rsidRPr="009E1DEC">
        <w:rPr>
          <w:rFonts w:ascii="Calibri" w:hAnsi="Calibri" w:cs="Arial"/>
          <w:color w:val="AEAAAA" w:themeColor="background2" w:themeShade="BF"/>
          <w:sz w:val="26"/>
          <w:szCs w:val="26"/>
        </w:rPr>
        <w:t xml:space="preserve">/100 Moneda Nacional); </w:t>
      </w:r>
      <w:r w:rsidR="00086ACD">
        <w:rPr>
          <w:rFonts w:ascii="Calibri" w:hAnsi="Calibri" w:cs="Arial"/>
          <w:color w:val="AEAAAA" w:themeColor="background2" w:themeShade="BF"/>
          <w:sz w:val="26"/>
          <w:szCs w:val="26"/>
        </w:rPr>
        <w:t xml:space="preserve">así como tampoco </w:t>
      </w:r>
      <w:r w:rsidRPr="009E1DEC">
        <w:rPr>
          <w:rFonts w:ascii="Calibri" w:hAnsi="Calibri" w:cs="Arial"/>
          <w:color w:val="AEAAAA" w:themeColor="background2" w:themeShade="BF"/>
          <w:sz w:val="26"/>
          <w:szCs w:val="26"/>
        </w:rPr>
        <w:t>estableció en qué dispositivo y ordenamiento legal, de aplicación en el Municipio de León, Guanajuato, se encuentra el sustento legal para determinar dichos valores y, en su caso, los factores aplicados, de ahí que no esté debidamente fundado ni motivado</w:t>
      </w:r>
      <w:r w:rsidR="00086ACD">
        <w:rPr>
          <w:rFonts w:ascii="Calibri" w:hAnsi="Calibri" w:cs="Arial"/>
          <w:color w:val="AEAAAA" w:themeColor="background2" w:themeShade="BF"/>
          <w:sz w:val="26"/>
          <w:szCs w:val="26"/>
        </w:rPr>
        <w:t xml:space="preserve"> debidamente el avalúo</w:t>
      </w:r>
      <w:r w:rsidRPr="009E1DEC">
        <w:rPr>
          <w:rFonts w:ascii="Calibri" w:hAnsi="Calibri" w:cs="Arial"/>
          <w:color w:val="AEAAAA" w:themeColor="background2" w:themeShade="BF"/>
          <w:sz w:val="26"/>
          <w:szCs w:val="26"/>
        </w:rPr>
        <w:t>.</w:t>
      </w:r>
      <w:r w:rsidR="00086ACD">
        <w:rPr>
          <w:rFonts w:ascii="Calibri" w:hAnsi="Calibri" w:cs="Arial"/>
          <w:color w:val="AEAAAA" w:themeColor="background2" w:themeShade="BF"/>
          <w:sz w:val="26"/>
          <w:szCs w:val="26"/>
        </w:rPr>
        <w:t xml:space="preserve"> . . . . . . . . . . . . . . .</w:t>
      </w:r>
      <w:r w:rsidRPr="009E1DEC">
        <w:rPr>
          <w:rFonts w:ascii="Calibri" w:hAnsi="Calibri" w:cs="Arial"/>
          <w:color w:val="AEAAAA" w:themeColor="background2" w:themeShade="BF"/>
          <w:sz w:val="26"/>
          <w:szCs w:val="26"/>
        </w:rPr>
        <w:t xml:space="preserve"> </w:t>
      </w:r>
      <w:r w:rsidR="00A427EF">
        <w:rPr>
          <w:rFonts w:ascii="Calibri" w:hAnsi="Calibri" w:cs="Arial"/>
          <w:color w:val="AEAAAA" w:themeColor="background2" w:themeShade="BF"/>
          <w:sz w:val="26"/>
          <w:szCs w:val="26"/>
        </w:rPr>
        <w:t xml:space="preserve">. . . . . . . . . . . . . . . . . . . . . . . . . . . . . . . . . . </w:t>
      </w:r>
    </w:p>
    <w:p w:rsidR="009E1DEC" w:rsidRPr="009E1DEC" w:rsidRDefault="009E1DEC" w:rsidP="009E1DEC">
      <w:pPr>
        <w:pStyle w:val="Textoindependiente"/>
        <w:rPr>
          <w:rFonts w:ascii="Calibri" w:hAnsi="Calibri" w:cs="Arial"/>
          <w:i/>
          <w:iCs/>
          <w:color w:val="AEAAAA" w:themeColor="background2" w:themeShade="BF"/>
          <w:sz w:val="22"/>
          <w:szCs w:val="26"/>
        </w:rPr>
      </w:pPr>
    </w:p>
    <w:p w:rsidR="009E1DEC" w:rsidRPr="009E1DEC" w:rsidRDefault="009E1DEC" w:rsidP="009E1DEC">
      <w:pPr>
        <w:pStyle w:val="Textoindependiente"/>
        <w:rPr>
          <w:rFonts w:ascii="Calibri" w:hAnsi="Calibri" w:cs="Arial"/>
          <w:iCs/>
          <w:color w:val="AEAAAA" w:themeColor="background2" w:themeShade="BF"/>
          <w:sz w:val="26"/>
          <w:szCs w:val="26"/>
        </w:rPr>
      </w:pPr>
      <w:r w:rsidRPr="009E1DEC">
        <w:rPr>
          <w:rFonts w:ascii="Calibri" w:hAnsi="Calibri" w:cs="Arial"/>
          <w:iCs/>
          <w:color w:val="AEAAAA" w:themeColor="background2" w:themeShade="BF"/>
          <w:sz w:val="26"/>
          <w:szCs w:val="26"/>
        </w:rPr>
        <w:tab/>
        <w:t xml:space="preserve">Asimismo, </w:t>
      </w:r>
      <w:r w:rsidR="00086ACD">
        <w:rPr>
          <w:rFonts w:ascii="Calibri" w:hAnsi="Calibri" w:cs="Arial"/>
          <w:iCs/>
          <w:color w:val="AEAAAA" w:themeColor="background2" w:themeShade="BF"/>
          <w:sz w:val="26"/>
          <w:szCs w:val="26"/>
        </w:rPr>
        <w:t xml:space="preserve">tampoco se fundó </w:t>
      </w:r>
      <w:r w:rsidRPr="009E1DEC">
        <w:rPr>
          <w:rFonts w:ascii="Calibri" w:hAnsi="Calibri" w:cs="Arial"/>
          <w:iCs/>
          <w:color w:val="AEAAAA" w:themeColor="background2" w:themeShade="BF"/>
          <w:sz w:val="26"/>
          <w:szCs w:val="26"/>
        </w:rPr>
        <w:t xml:space="preserve">correctamente </w:t>
      </w:r>
      <w:r w:rsidRPr="009E1DEC">
        <w:rPr>
          <w:rFonts w:ascii="Calibri" w:hAnsi="Calibri"/>
          <w:color w:val="AEAAAA" w:themeColor="background2" w:themeShade="BF"/>
          <w:sz w:val="26"/>
          <w:szCs w:val="26"/>
        </w:rPr>
        <w:t xml:space="preserve">la realización del avalúo; ya que la Ley de Hacienda para los Municipios del Estado de Guanajuato, establece que la realización de un avalúo, solo puede realizarse en los casos y con las condiciones que la misma ley señala en su artículo 168; sin que en el caso en </w:t>
      </w:r>
      <w:r w:rsidRPr="009E1DEC">
        <w:rPr>
          <w:rFonts w:ascii="Calibri" w:hAnsi="Calibri"/>
          <w:color w:val="AEAAAA" w:themeColor="background2" w:themeShade="BF"/>
          <w:sz w:val="26"/>
          <w:szCs w:val="26"/>
        </w:rPr>
        <w:lastRenderedPageBreak/>
        <w:t>concreto</w:t>
      </w:r>
      <w:r w:rsidR="00086ACD">
        <w:rPr>
          <w:rFonts w:ascii="Calibri" w:hAnsi="Calibri"/>
          <w:color w:val="AEAAAA" w:themeColor="background2" w:themeShade="BF"/>
          <w:sz w:val="26"/>
          <w:szCs w:val="26"/>
        </w:rPr>
        <w:t>,</w:t>
      </w:r>
      <w:r w:rsidRPr="009E1DEC">
        <w:rPr>
          <w:rFonts w:ascii="Calibri" w:hAnsi="Calibri"/>
          <w:color w:val="AEAAAA" w:themeColor="background2" w:themeShade="BF"/>
          <w:sz w:val="26"/>
          <w:szCs w:val="26"/>
        </w:rPr>
        <w:t xml:space="preserve"> se refiera </w:t>
      </w:r>
      <w:r w:rsidR="00086ACD">
        <w:rPr>
          <w:rFonts w:ascii="Calibri" w:hAnsi="Calibri"/>
          <w:color w:val="AEAAAA" w:themeColor="background2" w:themeShade="BF"/>
          <w:sz w:val="26"/>
          <w:szCs w:val="26"/>
        </w:rPr>
        <w:t>en el señalado acto</w:t>
      </w:r>
      <w:r w:rsidRPr="009E1DEC">
        <w:rPr>
          <w:rFonts w:ascii="Calibri" w:hAnsi="Calibri"/>
          <w:color w:val="AEAAAA" w:themeColor="background2" w:themeShade="BF"/>
          <w:sz w:val="26"/>
          <w:szCs w:val="26"/>
        </w:rPr>
        <w:t xml:space="preserve">, </w:t>
      </w:r>
      <w:r w:rsidR="00086ACD">
        <w:rPr>
          <w:rFonts w:ascii="Calibri" w:hAnsi="Calibri"/>
          <w:color w:val="AEAAAA" w:themeColor="background2" w:themeShade="BF"/>
          <w:sz w:val="26"/>
          <w:szCs w:val="26"/>
        </w:rPr>
        <w:t>el</w:t>
      </w:r>
      <w:r w:rsidRPr="009E1DEC">
        <w:rPr>
          <w:rFonts w:ascii="Calibri" w:hAnsi="Calibri"/>
          <w:color w:val="AEAAAA" w:themeColor="background2" w:themeShade="BF"/>
          <w:sz w:val="26"/>
          <w:szCs w:val="26"/>
        </w:rPr>
        <w:t xml:space="preserve"> supuesto de los previstos en el primer y en el segundo párrafos de ese precepto, </w:t>
      </w:r>
      <w:r w:rsidR="005B7DDF">
        <w:rPr>
          <w:rFonts w:ascii="Calibri" w:hAnsi="Calibri"/>
          <w:color w:val="AEAAAA" w:themeColor="background2" w:themeShade="BF"/>
          <w:sz w:val="26"/>
          <w:szCs w:val="26"/>
        </w:rPr>
        <w:t xml:space="preserve">que </w:t>
      </w:r>
      <w:r w:rsidRPr="009E1DEC">
        <w:rPr>
          <w:rFonts w:ascii="Calibri" w:hAnsi="Calibri"/>
          <w:color w:val="AEAAAA" w:themeColor="background2" w:themeShade="BF"/>
          <w:sz w:val="26"/>
          <w:szCs w:val="26"/>
        </w:rPr>
        <w:t xml:space="preserve">resultaba aplicable. . . . . . </w:t>
      </w:r>
      <w:r w:rsidR="00086ACD">
        <w:rPr>
          <w:rFonts w:ascii="Calibri" w:hAnsi="Calibri"/>
          <w:color w:val="AEAAAA" w:themeColor="background2" w:themeShade="BF"/>
          <w:sz w:val="26"/>
          <w:szCs w:val="26"/>
        </w:rPr>
        <w:t xml:space="preserve">. . . . . </w:t>
      </w:r>
      <w:r w:rsidR="005B7DDF">
        <w:rPr>
          <w:rFonts w:ascii="Calibri" w:hAnsi="Calibri"/>
          <w:color w:val="AEAAAA" w:themeColor="background2" w:themeShade="BF"/>
          <w:sz w:val="26"/>
          <w:szCs w:val="26"/>
        </w:rPr>
        <w:t xml:space="preserve">. . . </w:t>
      </w:r>
    </w:p>
    <w:p w:rsidR="00086ACD" w:rsidRDefault="00086ACD" w:rsidP="009E1DEC">
      <w:pPr>
        <w:pStyle w:val="Textoindependiente"/>
        <w:ind w:firstLine="708"/>
        <w:rPr>
          <w:rFonts w:ascii="Calibri" w:hAnsi="Calibri" w:cs="Arial"/>
          <w:iCs/>
          <w:color w:val="AEAAAA" w:themeColor="background2" w:themeShade="BF"/>
          <w:sz w:val="26"/>
          <w:szCs w:val="26"/>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iCs/>
          <w:color w:val="AEAAAA" w:themeColor="background2" w:themeShade="BF"/>
          <w:sz w:val="26"/>
          <w:szCs w:val="26"/>
        </w:rPr>
        <w:t>Por último, no pasa desapercibido para este Juzgador que las autoridades demandadas omitieron justi</w:t>
      </w:r>
      <w:r w:rsidR="00EB27F7">
        <w:rPr>
          <w:rFonts w:ascii="Calibri" w:hAnsi="Calibri" w:cs="Arial"/>
          <w:iCs/>
          <w:color w:val="AEAAAA" w:themeColor="background2" w:themeShade="BF"/>
          <w:sz w:val="26"/>
          <w:szCs w:val="26"/>
        </w:rPr>
        <w:t>fi</w:t>
      </w:r>
      <w:r w:rsidRPr="009E1DEC">
        <w:rPr>
          <w:rFonts w:ascii="Calibri" w:hAnsi="Calibri" w:cs="Arial"/>
          <w:iCs/>
          <w:color w:val="AEAAAA" w:themeColor="background2" w:themeShade="BF"/>
          <w:sz w:val="26"/>
          <w:szCs w:val="26"/>
        </w:rPr>
        <w:t xml:space="preserve">car la legal emisión del avalúo impugnado, mediante la exhibición de la orden de avalúo respectiva, la que no presentaron; por lo que con ello </w:t>
      </w:r>
      <w:r w:rsidRPr="009E1DEC">
        <w:rPr>
          <w:rFonts w:ascii="Calibri" w:hAnsi="Calibri" w:cs="Arial"/>
          <w:color w:val="AEAAAA" w:themeColor="background2" w:themeShade="BF"/>
          <w:sz w:val="26"/>
          <w:szCs w:val="26"/>
        </w:rPr>
        <w:t xml:space="preserve">se viola en perjuicio del actor el contenido del artículo 176 de la Ley de Hacienda para los Municipios del Estado de Guanajuato, al haberse practicado, el día </w:t>
      </w:r>
      <w:r w:rsidR="00EB27F7">
        <w:rPr>
          <w:rFonts w:ascii="Calibri" w:hAnsi="Calibri" w:cs="Arial"/>
          <w:color w:val="AEAAAA" w:themeColor="background2" w:themeShade="BF"/>
          <w:sz w:val="26"/>
          <w:szCs w:val="26"/>
        </w:rPr>
        <w:t>4</w:t>
      </w:r>
      <w:r w:rsidRPr="009E1DEC">
        <w:rPr>
          <w:rFonts w:ascii="Calibri" w:hAnsi="Calibri" w:cs="Arial"/>
          <w:color w:val="AEAAAA" w:themeColor="background2" w:themeShade="BF"/>
          <w:sz w:val="26"/>
          <w:szCs w:val="26"/>
        </w:rPr>
        <w:t xml:space="preserve"> c</w:t>
      </w:r>
      <w:r w:rsidR="00EB27F7">
        <w:rPr>
          <w:rFonts w:ascii="Calibri" w:hAnsi="Calibri" w:cs="Arial"/>
          <w:color w:val="AEAAAA" w:themeColor="background2" w:themeShade="BF"/>
          <w:sz w:val="26"/>
          <w:szCs w:val="26"/>
        </w:rPr>
        <w:t>uatr</w:t>
      </w:r>
      <w:r w:rsidRPr="009E1DEC">
        <w:rPr>
          <w:rFonts w:ascii="Calibri" w:hAnsi="Calibri" w:cs="Arial"/>
          <w:color w:val="AEAAAA" w:themeColor="background2" w:themeShade="BF"/>
          <w:sz w:val="26"/>
          <w:szCs w:val="26"/>
        </w:rPr>
        <w:t xml:space="preserve">o de </w:t>
      </w:r>
      <w:r w:rsidR="00EB27F7">
        <w:rPr>
          <w:rFonts w:ascii="Calibri" w:hAnsi="Calibri" w:cs="Arial"/>
          <w:color w:val="AEAAAA" w:themeColor="background2" w:themeShade="BF"/>
          <w:sz w:val="26"/>
          <w:szCs w:val="26"/>
        </w:rPr>
        <w:t>julio</w:t>
      </w:r>
      <w:r w:rsidRPr="009E1DEC">
        <w:rPr>
          <w:rFonts w:ascii="Calibri" w:hAnsi="Calibri" w:cs="Arial"/>
          <w:color w:val="AEAAAA" w:themeColor="background2" w:themeShade="BF"/>
          <w:sz w:val="26"/>
          <w:szCs w:val="26"/>
        </w:rPr>
        <w:t xml:space="preserve"> del año 2014 dos mil catorce, un avalúo al inmueble ubicado en calle </w:t>
      </w:r>
      <w:r w:rsidR="00EB27F7">
        <w:rPr>
          <w:rFonts w:ascii="Calibri" w:hAnsi="Calibri" w:cs="Arial"/>
          <w:color w:val="AEAAAA" w:themeColor="background2" w:themeShade="BF"/>
          <w:sz w:val="26"/>
          <w:szCs w:val="26"/>
        </w:rPr>
        <w:t xml:space="preserve">Francisco I. Madero número 102-415 ciento dos guión cuatrocientos quince, </w:t>
      </w:r>
      <w:r w:rsidRPr="009E1DEC">
        <w:rPr>
          <w:rFonts w:ascii="Calibri" w:hAnsi="Calibri" w:cs="Arial"/>
          <w:color w:val="AEAAAA" w:themeColor="background2" w:themeShade="BF"/>
          <w:sz w:val="26"/>
          <w:szCs w:val="26"/>
        </w:rPr>
        <w:t xml:space="preserve">de </w:t>
      </w:r>
      <w:r w:rsidR="00EB27F7">
        <w:rPr>
          <w:rFonts w:ascii="Calibri" w:hAnsi="Calibri" w:cs="Arial"/>
          <w:color w:val="AEAAAA" w:themeColor="background2" w:themeShade="BF"/>
          <w:sz w:val="26"/>
          <w:szCs w:val="26"/>
        </w:rPr>
        <w:t xml:space="preserve">la zona centro </w:t>
      </w:r>
      <w:r w:rsidRPr="009E1DEC">
        <w:rPr>
          <w:rFonts w:ascii="Calibri" w:hAnsi="Calibri" w:cs="Arial"/>
          <w:color w:val="AEAAAA" w:themeColor="background2" w:themeShade="BF"/>
          <w:sz w:val="26"/>
          <w:szCs w:val="26"/>
        </w:rPr>
        <w:t xml:space="preserve">esta ciudad, para modificar su valor fiscal, </w:t>
      </w:r>
      <w:r w:rsidRPr="009E1DEC">
        <w:rPr>
          <w:rFonts w:ascii="Calibri" w:hAnsi="Calibri" w:cs="Arial"/>
          <w:b/>
          <w:color w:val="AEAAAA" w:themeColor="background2" w:themeShade="BF"/>
          <w:sz w:val="26"/>
          <w:szCs w:val="26"/>
        </w:rPr>
        <w:t>sin que mediara</w:t>
      </w:r>
      <w:r w:rsidRPr="009E1DEC">
        <w:rPr>
          <w:rFonts w:ascii="Calibri" w:hAnsi="Calibri" w:cs="Arial"/>
          <w:color w:val="AEAAAA" w:themeColor="background2" w:themeShade="BF"/>
          <w:sz w:val="26"/>
          <w:szCs w:val="26"/>
        </w:rPr>
        <w:t xml:space="preserve"> una orden emitida por la Tesorería Municipal. . . . . . . . </w:t>
      </w:r>
      <w:r w:rsidR="00DF519F">
        <w:rPr>
          <w:rFonts w:ascii="Calibri" w:hAnsi="Calibri" w:cs="Arial"/>
          <w:color w:val="AEAAAA" w:themeColor="background2" w:themeShade="BF"/>
          <w:sz w:val="26"/>
          <w:szCs w:val="26"/>
        </w:rPr>
        <w:t xml:space="preserve">. . . </w:t>
      </w:r>
    </w:p>
    <w:p w:rsidR="009E1DEC" w:rsidRPr="009E1DEC" w:rsidRDefault="009E1DEC" w:rsidP="009E1DEC">
      <w:pPr>
        <w:pStyle w:val="Textoindependiente"/>
        <w:rPr>
          <w:color w:val="AEAAAA" w:themeColor="background2" w:themeShade="BF"/>
          <w:sz w:val="26"/>
          <w:szCs w:val="26"/>
        </w:rPr>
      </w:pPr>
    </w:p>
    <w:p w:rsidR="009E1DEC" w:rsidRPr="009E1DEC" w:rsidRDefault="009E1DEC" w:rsidP="009E1DEC">
      <w:pPr>
        <w:ind w:firstLine="708"/>
        <w:jc w:val="both"/>
        <w:rPr>
          <w:rFonts w:ascii="Calibri" w:hAnsi="Calibri"/>
          <w:color w:val="AEAAAA" w:themeColor="background2" w:themeShade="BF"/>
          <w:sz w:val="26"/>
          <w:szCs w:val="26"/>
        </w:rPr>
      </w:pPr>
      <w:r w:rsidRPr="009E1DEC">
        <w:rPr>
          <w:rFonts w:ascii="Calibri" w:hAnsi="Calibri" w:cs="Arial"/>
          <w:color w:val="AEAAAA" w:themeColor="background2" w:themeShade="BF"/>
          <w:sz w:val="26"/>
          <w:szCs w:val="26"/>
        </w:rPr>
        <w:t>En efecto, d</w:t>
      </w:r>
      <w:r w:rsidRPr="009E1DEC">
        <w:rPr>
          <w:rFonts w:ascii="Calibri" w:hAnsi="Calibri"/>
          <w:color w:val="AEAAAA" w:themeColor="background2" w:themeShade="BF"/>
          <w:sz w:val="26"/>
          <w:szCs w:val="26"/>
          <w:lang w:val="es-MX"/>
        </w:rPr>
        <w:t xml:space="preserve">e </w:t>
      </w:r>
      <w:r w:rsidRPr="009E1DEC">
        <w:rPr>
          <w:rFonts w:ascii="Calibri" w:hAnsi="Calibri"/>
          <w:color w:val="AEAAAA" w:themeColor="background2" w:themeShade="BF"/>
          <w:sz w:val="26"/>
          <w:szCs w:val="26"/>
        </w:rPr>
        <w:t xml:space="preserve">acuerdo a lo establecido en el artículo 168 de la Ley de Hacienda para los Municipios del Estado de Guanajuato, se precisa que el valor fiscal de un inmueble, sólo puede ser modificado por la manifestación de los contribuyentes sobre el valor; cuando se produzca un cambio al nombre del contribuyente o a las características del inmueble; o, por cualquier otra circunstancia que origine una alteración de su valor (ejecución de obras públicas o reconstrucción o rehabilitación de las mismas); así como que de no presentarse alguna de las causas antes citadas, dicho artículo en su párrafo segundo consigna que el valor fiscal </w:t>
      </w:r>
      <w:r w:rsidRPr="009E1DEC">
        <w:rPr>
          <w:rFonts w:ascii="Calibri" w:hAnsi="Calibri"/>
          <w:b/>
          <w:color w:val="AEAAAA" w:themeColor="background2" w:themeShade="BF"/>
          <w:sz w:val="26"/>
          <w:szCs w:val="26"/>
          <w:u w:val="single"/>
        </w:rPr>
        <w:t>únicamente podrá ser modificado por avalúo</w:t>
      </w:r>
      <w:r w:rsidRPr="009E1DEC">
        <w:rPr>
          <w:rFonts w:ascii="Calibri" w:hAnsi="Calibri"/>
          <w:color w:val="AEAAAA" w:themeColor="background2" w:themeShade="BF"/>
          <w:sz w:val="26"/>
          <w:szCs w:val="26"/>
        </w:rPr>
        <w:t xml:space="preserve">. Avalúo cuya práctica, de acuerdo al contenido del primer párrafo del artículo 176 del ordenamiento legal antes citado, debe ser </w:t>
      </w:r>
      <w:r w:rsidRPr="009E1DEC">
        <w:rPr>
          <w:rFonts w:ascii="Calibri" w:hAnsi="Calibri"/>
          <w:b/>
          <w:color w:val="AEAAAA" w:themeColor="background2" w:themeShade="BF"/>
          <w:sz w:val="26"/>
          <w:szCs w:val="26"/>
          <w:u w:val="single"/>
        </w:rPr>
        <w:t>ordenada por escrito, por la Tesorería Municipal</w:t>
      </w:r>
      <w:r w:rsidRPr="009E1DEC">
        <w:rPr>
          <w:rFonts w:ascii="Calibri" w:hAnsi="Calibri"/>
          <w:color w:val="AEAAAA" w:themeColor="background2" w:themeShade="BF"/>
          <w:sz w:val="26"/>
          <w:szCs w:val="26"/>
        </w:rPr>
        <w:t>. . . . . . . . . . . . . . . . . . . . . . . . . . . . . . . . . . . . . . . . . . . . . . . . . . . . . . . . . . . . .</w:t>
      </w:r>
    </w:p>
    <w:p w:rsidR="009E1DEC" w:rsidRPr="009E1DEC" w:rsidRDefault="009E1DEC" w:rsidP="009E1DEC">
      <w:pPr>
        <w:ind w:firstLine="708"/>
        <w:jc w:val="both"/>
        <w:rPr>
          <w:rFonts w:ascii="Calibri" w:hAnsi="Calibri"/>
          <w:color w:val="AEAAAA" w:themeColor="background2" w:themeShade="BF"/>
          <w:sz w:val="26"/>
          <w:szCs w:val="26"/>
        </w:rPr>
      </w:pPr>
    </w:p>
    <w:p w:rsidR="009E1DEC" w:rsidRPr="009E1DEC" w:rsidRDefault="009E1DEC" w:rsidP="009E1DEC">
      <w:pPr>
        <w:pStyle w:val="Sangra2detindependiente"/>
        <w:rPr>
          <w:rFonts w:ascii="Calibri" w:hAnsi="Calibri"/>
          <w:color w:val="AEAAAA" w:themeColor="background2" w:themeShade="BF"/>
          <w:sz w:val="26"/>
          <w:szCs w:val="26"/>
        </w:rPr>
      </w:pPr>
      <w:r w:rsidRPr="009E1DEC">
        <w:rPr>
          <w:rFonts w:ascii="Calibri" w:hAnsi="Calibri"/>
          <w:color w:val="AEAAAA" w:themeColor="background2" w:themeShade="BF"/>
          <w:sz w:val="26"/>
          <w:szCs w:val="26"/>
        </w:rPr>
        <w:t xml:space="preserve">Así pues, en el caso concreto se elaboró un avalúo, mismo que se impugnó por el impetrante, sin que en la prosecución del presente proceso, se haya acreditado de modo alguno, que esa modificación de valor, </w:t>
      </w:r>
      <w:r w:rsidR="00EB27F7">
        <w:rPr>
          <w:rFonts w:ascii="Calibri" w:hAnsi="Calibri"/>
          <w:color w:val="AEAAAA" w:themeColor="background2" w:themeShade="BF"/>
          <w:sz w:val="26"/>
          <w:szCs w:val="26"/>
        </w:rPr>
        <w:t>haya</w:t>
      </w:r>
      <w:r w:rsidRPr="009E1DEC">
        <w:rPr>
          <w:rFonts w:ascii="Calibri" w:hAnsi="Calibri"/>
          <w:color w:val="AEAAAA" w:themeColor="background2" w:themeShade="BF"/>
          <w:sz w:val="26"/>
          <w:szCs w:val="26"/>
        </w:rPr>
        <w:t xml:space="preserve"> </w:t>
      </w:r>
      <w:r w:rsidR="00EB27F7">
        <w:rPr>
          <w:rFonts w:ascii="Calibri" w:hAnsi="Calibri"/>
          <w:color w:val="AEAAAA" w:themeColor="background2" w:themeShade="BF"/>
          <w:sz w:val="26"/>
          <w:szCs w:val="26"/>
        </w:rPr>
        <w:t>sido</w:t>
      </w:r>
      <w:r w:rsidRPr="009E1DEC">
        <w:rPr>
          <w:rFonts w:ascii="Calibri" w:hAnsi="Calibri"/>
          <w:color w:val="AEAAAA" w:themeColor="background2" w:themeShade="BF"/>
          <w:sz w:val="26"/>
          <w:szCs w:val="26"/>
        </w:rPr>
        <w:t xml:space="preserve"> </w:t>
      </w:r>
      <w:r w:rsidR="00EB27F7">
        <w:rPr>
          <w:rFonts w:ascii="Calibri" w:hAnsi="Calibri"/>
          <w:color w:val="AEAAAA" w:themeColor="background2" w:themeShade="BF"/>
          <w:sz w:val="26"/>
          <w:szCs w:val="26"/>
        </w:rPr>
        <w:t xml:space="preserve">con </w:t>
      </w:r>
      <w:r w:rsidRPr="009E1DEC">
        <w:rPr>
          <w:rFonts w:ascii="Calibri" w:hAnsi="Calibri"/>
          <w:color w:val="AEAAAA" w:themeColor="background2" w:themeShade="BF"/>
          <w:sz w:val="26"/>
          <w:szCs w:val="26"/>
        </w:rPr>
        <w:t xml:space="preserve">motivo de la actualización de </w:t>
      </w:r>
      <w:r w:rsidR="00EB27F7">
        <w:rPr>
          <w:rFonts w:ascii="Calibri" w:hAnsi="Calibri"/>
          <w:color w:val="AEAAAA" w:themeColor="background2" w:themeShade="BF"/>
          <w:sz w:val="26"/>
          <w:szCs w:val="26"/>
        </w:rPr>
        <w:t xml:space="preserve">alguna de </w:t>
      </w:r>
      <w:r w:rsidRPr="009E1DEC">
        <w:rPr>
          <w:rFonts w:ascii="Calibri" w:hAnsi="Calibri"/>
          <w:color w:val="AEAAAA" w:themeColor="background2" w:themeShade="BF"/>
          <w:sz w:val="26"/>
          <w:szCs w:val="26"/>
        </w:rPr>
        <w:t>las causas contenidas en el artículo 168 de la Ley de Hacienda para los Muni</w:t>
      </w:r>
      <w:r w:rsidR="00EB27F7">
        <w:rPr>
          <w:rFonts w:ascii="Calibri" w:hAnsi="Calibri"/>
          <w:color w:val="AEAAAA" w:themeColor="background2" w:themeShade="BF"/>
          <w:sz w:val="26"/>
          <w:szCs w:val="26"/>
        </w:rPr>
        <w:t>cipios del Estado de Guanajuato;</w:t>
      </w:r>
      <w:r w:rsidRPr="009E1DEC">
        <w:rPr>
          <w:rFonts w:ascii="Calibri" w:hAnsi="Calibri"/>
          <w:color w:val="AEAAAA" w:themeColor="background2" w:themeShade="BF"/>
          <w:sz w:val="26"/>
          <w:szCs w:val="26"/>
        </w:rPr>
        <w:t xml:space="preserve"> pues </w:t>
      </w:r>
      <w:r w:rsidRPr="009E1DEC">
        <w:rPr>
          <w:rFonts w:ascii="Calibri" w:hAnsi="Calibri"/>
          <w:b/>
          <w:color w:val="AEAAAA" w:themeColor="background2" w:themeShade="BF"/>
          <w:sz w:val="26"/>
          <w:szCs w:val="26"/>
        </w:rPr>
        <w:t>no se exhibió</w:t>
      </w:r>
      <w:r w:rsidRPr="009E1DEC">
        <w:rPr>
          <w:rFonts w:ascii="Calibri" w:hAnsi="Calibri"/>
          <w:color w:val="AEAAAA" w:themeColor="background2" w:themeShade="BF"/>
          <w:sz w:val="26"/>
          <w:szCs w:val="26"/>
        </w:rPr>
        <w:t xml:space="preserve"> la orden de avalúo que diera soporte y legalidad al propio avalúo </w:t>
      </w:r>
      <w:r w:rsidR="00524B5B" w:rsidRPr="009E1DEC">
        <w:rPr>
          <w:rFonts w:ascii="Calibri" w:hAnsi="Calibri"/>
          <w:color w:val="AEAAAA" w:themeColor="background2" w:themeShade="BF"/>
          <w:sz w:val="26"/>
          <w:szCs w:val="26"/>
        </w:rPr>
        <w:t>practicado.</w:t>
      </w:r>
      <w:r w:rsidRPr="009E1DEC">
        <w:rPr>
          <w:rFonts w:ascii="Calibri" w:hAnsi="Calibri"/>
          <w:color w:val="AEAAAA" w:themeColor="background2" w:themeShade="BF"/>
          <w:sz w:val="26"/>
          <w:szCs w:val="26"/>
        </w:rPr>
        <w:t xml:space="preserve"> . . . . </w:t>
      </w:r>
      <w:r w:rsidR="00EB27F7">
        <w:rPr>
          <w:rFonts w:ascii="Calibri" w:hAnsi="Calibri"/>
          <w:color w:val="AEAAAA" w:themeColor="background2" w:themeShade="BF"/>
          <w:sz w:val="26"/>
          <w:szCs w:val="26"/>
        </w:rPr>
        <w:t xml:space="preserve">. . </w:t>
      </w:r>
    </w:p>
    <w:p w:rsidR="009E1DEC" w:rsidRPr="009E1DEC" w:rsidRDefault="009E1DEC" w:rsidP="009E1DEC">
      <w:pPr>
        <w:ind w:firstLine="708"/>
        <w:jc w:val="both"/>
        <w:rPr>
          <w:rFonts w:ascii="Calibri" w:hAnsi="Calibri"/>
          <w:color w:val="AEAAAA" w:themeColor="background2" w:themeShade="BF"/>
          <w:sz w:val="26"/>
          <w:szCs w:val="26"/>
          <w:lang w:val="es-MX"/>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olor w:val="AEAAAA" w:themeColor="background2" w:themeShade="BF"/>
          <w:sz w:val="26"/>
          <w:szCs w:val="26"/>
        </w:rPr>
        <w:t>Asimismo, no se acreditó por las autoridades demandadas, que la orden de valuación se haya hecho del conocimiento del impetrante del juicio de una manera legal; esto es, mediante las notificacio</w:t>
      </w:r>
      <w:r w:rsidR="002A36E1">
        <w:rPr>
          <w:rFonts w:ascii="Calibri" w:hAnsi="Calibri"/>
          <w:color w:val="AEAAAA" w:themeColor="background2" w:themeShade="BF"/>
          <w:sz w:val="26"/>
          <w:szCs w:val="26"/>
        </w:rPr>
        <w:t>nes personales correspondientes;</w:t>
      </w:r>
      <w:r w:rsidRPr="009E1DEC">
        <w:rPr>
          <w:rFonts w:ascii="Calibri" w:hAnsi="Calibri"/>
          <w:color w:val="AEAAAA" w:themeColor="background2" w:themeShade="BF"/>
          <w:sz w:val="26"/>
          <w:szCs w:val="26"/>
        </w:rPr>
        <w:t xml:space="preserve"> ni que lo hayan hecho del conocimiento del actor; vulnerando lo establecido en los artículos 79 y 81 de la misma Ley de Hacienda para los Municipios del Estado de Guanajuato; pues es evidente que las demandadas fueron omisas en </w:t>
      </w:r>
      <w:r w:rsidRPr="009E1DEC">
        <w:rPr>
          <w:rFonts w:ascii="Calibri" w:hAnsi="Calibri" w:cs="Arial"/>
          <w:color w:val="AEAAAA" w:themeColor="background2" w:themeShade="BF"/>
          <w:sz w:val="26"/>
          <w:szCs w:val="26"/>
        </w:rPr>
        <w:t>probar que la orden de valuación se haya presentado o dado a conocer legalmente al contribuyente; por lo que se concluye que al justiciable no le fue mostrada dicha orden; todo lo anterior, sin duda constituye una violación a lo dispuesto en los primeros párrafos de los artículos 176 y 177 de la Ley de Hacienda para los Municipios de Guanajuato; que establecen: . . . . . . . . . . . . . . . . . . . . . . . .</w:t>
      </w:r>
      <w:r w:rsidR="002A36E1">
        <w:rPr>
          <w:rFonts w:ascii="Calibri" w:hAnsi="Calibri" w:cs="Arial"/>
          <w:color w:val="AEAAAA" w:themeColor="background2" w:themeShade="BF"/>
          <w:sz w:val="26"/>
          <w:szCs w:val="26"/>
        </w:rPr>
        <w:t xml:space="preserve"> . . . . . . . . </w:t>
      </w:r>
    </w:p>
    <w:p w:rsidR="009E1DEC" w:rsidRPr="009E1DEC" w:rsidRDefault="009E1DEC" w:rsidP="009E1DEC">
      <w:pPr>
        <w:pStyle w:val="Textoindependiente"/>
        <w:ind w:firstLine="708"/>
        <w:rPr>
          <w:rFonts w:ascii="Calibri" w:hAnsi="Calibri" w:cs="Arial"/>
          <w:color w:val="AEAAAA" w:themeColor="background2" w:themeShade="BF"/>
          <w:sz w:val="26"/>
          <w:szCs w:val="26"/>
        </w:rPr>
      </w:pPr>
    </w:p>
    <w:p w:rsidR="009E1DEC" w:rsidRPr="009E1DEC" w:rsidRDefault="009E1DEC" w:rsidP="009E1DEC">
      <w:pPr>
        <w:pStyle w:val="Textoindependiente"/>
        <w:ind w:firstLine="708"/>
        <w:rPr>
          <w:rFonts w:ascii="Calibri" w:hAnsi="Calibri" w:cs="Arial"/>
          <w:i/>
          <w:color w:val="AEAAAA" w:themeColor="background2" w:themeShade="BF"/>
          <w:sz w:val="26"/>
          <w:szCs w:val="26"/>
        </w:rPr>
      </w:pPr>
      <w:r w:rsidRPr="009E1DEC">
        <w:rPr>
          <w:rFonts w:ascii="Calibri" w:hAnsi="Calibri" w:cs="Arial"/>
          <w:i/>
          <w:color w:val="AEAAAA" w:themeColor="background2" w:themeShade="BF"/>
          <w:sz w:val="26"/>
          <w:szCs w:val="26"/>
        </w:rPr>
        <w:lastRenderedPageBreak/>
        <w:t>“Artículo 176.- La práctica de todo avalúo deberá ser ordenada por la Tesorería Municipal por escrito en los casos que esta ley establece y será practicada por los peritos que se designen para este efecto…” . . . . . . . . . . .</w:t>
      </w:r>
      <w:r w:rsidR="00085290">
        <w:rPr>
          <w:rFonts w:ascii="Calibri" w:hAnsi="Calibri" w:cs="Arial"/>
          <w:i/>
          <w:color w:val="AEAAAA" w:themeColor="background2" w:themeShade="BF"/>
          <w:sz w:val="26"/>
          <w:szCs w:val="26"/>
        </w:rPr>
        <w:t xml:space="preserve"> . . . . . . </w:t>
      </w:r>
    </w:p>
    <w:p w:rsidR="009E1DEC" w:rsidRPr="009E1DEC" w:rsidRDefault="009E1DEC" w:rsidP="009E1DEC">
      <w:pPr>
        <w:pStyle w:val="Textoindependiente"/>
        <w:rPr>
          <w:rFonts w:ascii="Calibri" w:hAnsi="Calibri" w:cs="Arial"/>
          <w:i/>
          <w:iCs/>
          <w:color w:val="AEAAAA" w:themeColor="background2" w:themeShade="BF"/>
          <w:sz w:val="26"/>
          <w:szCs w:val="26"/>
        </w:rPr>
      </w:pPr>
    </w:p>
    <w:p w:rsidR="009E1DEC" w:rsidRPr="009E1DEC" w:rsidRDefault="009E1DEC" w:rsidP="009E1DEC">
      <w:pPr>
        <w:pStyle w:val="Textoindependiente"/>
        <w:rPr>
          <w:rFonts w:ascii="Calibri" w:hAnsi="Calibri" w:cs="Arial"/>
          <w:iCs/>
          <w:color w:val="AEAAAA" w:themeColor="background2" w:themeShade="BF"/>
          <w:sz w:val="26"/>
          <w:szCs w:val="26"/>
        </w:rPr>
      </w:pPr>
      <w:r w:rsidRPr="009E1DEC">
        <w:rPr>
          <w:rFonts w:ascii="Calibri" w:hAnsi="Calibri" w:cs="Arial"/>
          <w:i/>
          <w:iCs/>
          <w:color w:val="AEAAAA" w:themeColor="background2" w:themeShade="BF"/>
          <w:sz w:val="26"/>
          <w:szCs w:val="26"/>
        </w:rPr>
        <w:tab/>
        <w:t xml:space="preserve">“Artículo 177.- En la práctica de los avalúos a que se refiere la fracción II del artículo 162 de esta Ley, </w:t>
      </w:r>
      <w:r w:rsidRPr="009E1DEC">
        <w:rPr>
          <w:rFonts w:ascii="Calibri" w:hAnsi="Calibri" w:cs="Arial"/>
          <w:i/>
          <w:iCs/>
          <w:color w:val="AEAAAA" w:themeColor="background2" w:themeShade="BF"/>
          <w:sz w:val="26"/>
          <w:szCs w:val="26"/>
          <w:u w:val="single"/>
        </w:rPr>
        <w:t>los peritos deberán presentarse en hora y día hábiles</w:t>
      </w:r>
      <w:r w:rsidRPr="009E1DEC">
        <w:rPr>
          <w:rFonts w:ascii="Calibri" w:hAnsi="Calibri" w:cs="Arial"/>
          <w:i/>
          <w:iCs/>
          <w:color w:val="AEAAAA" w:themeColor="background2" w:themeShade="BF"/>
          <w:sz w:val="26"/>
          <w:szCs w:val="26"/>
        </w:rPr>
        <w:t xml:space="preserve"> y se identificarán con la documentación correspondiente, </w:t>
      </w:r>
      <w:r w:rsidRPr="009E1DEC">
        <w:rPr>
          <w:rFonts w:ascii="Calibri" w:hAnsi="Calibri" w:cs="Arial"/>
          <w:i/>
          <w:iCs/>
          <w:color w:val="AEAAAA" w:themeColor="background2" w:themeShade="BF"/>
          <w:sz w:val="26"/>
          <w:szCs w:val="26"/>
          <w:u w:val="single"/>
        </w:rPr>
        <w:t>en el inmueble que deba ser objeto de la valuación</w:t>
      </w:r>
      <w:r w:rsidRPr="009E1DEC">
        <w:rPr>
          <w:rFonts w:ascii="Calibri" w:hAnsi="Calibri" w:cs="Arial"/>
          <w:i/>
          <w:iCs/>
          <w:color w:val="AEAAAA" w:themeColor="background2" w:themeShade="BF"/>
          <w:sz w:val="26"/>
          <w:szCs w:val="26"/>
        </w:rPr>
        <w:t xml:space="preserve"> y mostrarán a sus ocupantes la orden respectiva.</w:t>
      </w:r>
      <w:r w:rsidRPr="009E1DEC">
        <w:rPr>
          <w:rFonts w:ascii="Calibri" w:hAnsi="Calibri" w:cs="Arial"/>
          <w:b/>
          <w:i/>
          <w:iCs/>
          <w:color w:val="AEAAAA" w:themeColor="background2" w:themeShade="BF"/>
          <w:sz w:val="26"/>
          <w:szCs w:val="26"/>
        </w:rPr>
        <w:t>”</w:t>
      </w:r>
      <w:r w:rsidRPr="009E1DEC">
        <w:rPr>
          <w:rFonts w:ascii="Calibri" w:hAnsi="Calibri" w:cs="Arial"/>
          <w:b/>
          <w:iCs/>
          <w:color w:val="AEAAAA" w:themeColor="background2" w:themeShade="BF"/>
          <w:sz w:val="26"/>
          <w:szCs w:val="26"/>
        </w:rPr>
        <w:t xml:space="preserve"> </w:t>
      </w:r>
      <w:r w:rsidRPr="009E1DEC">
        <w:rPr>
          <w:rFonts w:ascii="Calibri" w:hAnsi="Calibri" w:cs="Arial"/>
          <w:iCs/>
          <w:color w:val="AEAAAA" w:themeColor="background2" w:themeShade="BF"/>
          <w:sz w:val="26"/>
          <w:szCs w:val="26"/>
        </w:rPr>
        <w:t>(</w:t>
      </w:r>
      <w:proofErr w:type="gramStart"/>
      <w:r w:rsidRPr="009E1DEC">
        <w:rPr>
          <w:rFonts w:ascii="Calibri" w:hAnsi="Calibri" w:cs="Arial"/>
          <w:iCs/>
          <w:color w:val="AEAAAA" w:themeColor="background2" w:themeShade="BF"/>
          <w:sz w:val="26"/>
          <w:szCs w:val="26"/>
        </w:rPr>
        <w:t>lo</w:t>
      </w:r>
      <w:proofErr w:type="gramEnd"/>
      <w:r w:rsidRPr="009E1DEC">
        <w:rPr>
          <w:rFonts w:ascii="Calibri" w:hAnsi="Calibri" w:cs="Arial"/>
          <w:iCs/>
          <w:color w:val="AEAAAA" w:themeColor="background2" w:themeShade="BF"/>
          <w:sz w:val="26"/>
          <w:szCs w:val="26"/>
        </w:rPr>
        <w:t xml:space="preserve"> subrayado es nuestro). . . . . . . . . . . . . . . . . . . . . . . . . . . . . . . . . . .</w:t>
      </w:r>
      <w:r w:rsidR="00085290">
        <w:rPr>
          <w:rFonts w:ascii="Calibri" w:hAnsi="Calibri" w:cs="Arial"/>
          <w:iCs/>
          <w:color w:val="AEAAAA" w:themeColor="background2" w:themeShade="BF"/>
          <w:sz w:val="26"/>
          <w:szCs w:val="26"/>
        </w:rPr>
        <w:t xml:space="preserve"> . . . . . . . . . . . . . </w:t>
      </w:r>
    </w:p>
    <w:p w:rsidR="00EB27F7" w:rsidRPr="00085290" w:rsidRDefault="00007D3E" w:rsidP="00085290">
      <w:pPr>
        <w:jc w:val="both"/>
        <w:rPr>
          <w:rFonts w:ascii="Calibri" w:hAnsi="Calibri" w:cs="Arial"/>
          <w:color w:val="AEAAAA" w:themeColor="background2" w:themeShade="BF"/>
          <w:sz w:val="26"/>
          <w:szCs w:val="26"/>
        </w:rPr>
      </w:pPr>
      <w:r>
        <w:rPr>
          <w:rFonts w:ascii="Calibri" w:hAnsi="Calibri"/>
          <w:color w:val="AEAAAA" w:themeColor="background2" w:themeShade="BF"/>
          <w:sz w:val="26"/>
        </w:rPr>
        <w:t xml:space="preserve"> </w:t>
      </w:r>
      <w:r w:rsidR="005C5177">
        <w:rPr>
          <w:rFonts w:ascii="Calibri" w:hAnsi="Calibri"/>
          <w:color w:val="AEAAAA" w:themeColor="background2" w:themeShade="BF"/>
          <w:sz w:val="26"/>
        </w:rPr>
        <w:t xml:space="preserve"> </w:t>
      </w:r>
    </w:p>
    <w:p w:rsidR="00085290" w:rsidRDefault="009E1DEC" w:rsidP="005047E9">
      <w:pPr>
        <w:pStyle w:val="Textoindependiente"/>
        <w:ind w:firstLine="708"/>
        <w:rPr>
          <w:rFonts w:ascii="Calibri" w:hAnsi="Calibri"/>
          <w:color w:val="AEAAAA" w:themeColor="background2" w:themeShade="BF"/>
          <w:sz w:val="26"/>
          <w:szCs w:val="27"/>
        </w:rPr>
      </w:pPr>
      <w:r w:rsidRPr="009E1DEC">
        <w:rPr>
          <w:rFonts w:ascii="Calibri" w:hAnsi="Calibri" w:cs="Arial"/>
          <w:color w:val="AEAAAA" w:themeColor="background2" w:themeShade="BF"/>
          <w:sz w:val="26"/>
          <w:szCs w:val="26"/>
        </w:rPr>
        <w:t xml:space="preserve">Así las cosas, al resultar </w:t>
      </w:r>
      <w:r w:rsidRPr="009E1DEC">
        <w:rPr>
          <w:rFonts w:ascii="Calibri" w:hAnsi="Calibri" w:cs="Arial"/>
          <w:b/>
          <w:bCs/>
          <w:color w:val="AEAAAA" w:themeColor="background2" w:themeShade="BF"/>
          <w:sz w:val="26"/>
          <w:szCs w:val="26"/>
        </w:rPr>
        <w:t>fundado</w:t>
      </w:r>
      <w:r w:rsidRPr="009E1DEC">
        <w:rPr>
          <w:rFonts w:ascii="Calibri" w:hAnsi="Calibri" w:cs="Arial"/>
          <w:color w:val="AEAAAA" w:themeColor="background2" w:themeShade="BF"/>
          <w:sz w:val="26"/>
          <w:szCs w:val="26"/>
        </w:rPr>
        <w:t xml:space="preserve"> el concepto de impugnación analizado; con fundamento en la fracción II del artículo 302 del Código de Procedimiento y Justicia Administrativa para el Estado y los Municipios de Guanajuato, se decreta la </w:t>
      </w:r>
      <w:r w:rsidRPr="009E1DEC">
        <w:rPr>
          <w:rFonts w:ascii="Calibri" w:hAnsi="Calibri" w:cs="Arial"/>
          <w:b/>
          <w:color w:val="AEAAAA" w:themeColor="background2" w:themeShade="BF"/>
          <w:sz w:val="26"/>
          <w:szCs w:val="26"/>
        </w:rPr>
        <w:t xml:space="preserve">nulidad total </w:t>
      </w:r>
      <w:r w:rsidRPr="009E1DEC">
        <w:rPr>
          <w:rFonts w:ascii="Calibri" w:hAnsi="Calibri" w:cs="Arial"/>
          <w:bCs/>
          <w:color w:val="AEAAAA" w:themeColor="background2" w:themeShade="BF"/>
          <w:sz w:val="26"/>
          <w:szCs w:val="26"/>
        </w:rPr>
        <w:t>de</w:t>
      </w:r>
      <w:r w:rsidRPr="009E1DEC">
        <w:rPr>
          <w:rFonts w:ascii="Calibri" w:hAnsi="Calibri" w:cs="Arial"/>
          <w:color w:val="AEAAAA" w:themeColor="background2" w:themeShade="BF"/>
          <w:sz w:val="26"/>
          <w:szCs w:val="26"/>
        </w:rPr>
        <w:t xml:space="preserve">l </w:t>
      </w:r>
      <w:r w:rsidR="005047E9">
        <w:rPr>
          <w:rFonts w:ascii="Calibri" w:hAnsi="Calibri"/>
          <w:color w:val="AEAAAA" w:themeColor="background2" w:themeShade="BF"/>
          <w:sz w:val="26"/>
          <w:szCs w:val="27"/>
        </w:rPr>
        <w:t xml:space="preserve">avalúo fiscal con número de folio </w:t>
      </w:r>
      <w:r w:rsidR="005047E9" w:rsidRPr="00524B5B">
        <w:rPr>
          <w:rFonts w:ascii="Calibri" w:hAnsi="Calibri"/>
          <w:b/>
          <w:color w:val="AEAAAA" w:themeColor="background2" w:themeShade="BF"/>
          <w:sz w:val="26"/>
          <w:szCs w:val="27"/>
        </w:rPr>
        <w:t>225784</w:t>
      </w:r>
      <w:r w:rsidR="005047E9">
        <w:rPr>
          <w:rFonts w:ascii="Calibri" w:hAnsi="Calibri"/>
          <w:color w:val="AEAAAA" w:themeColor="background2" w:themeShade="BF"/>
          <w:sz w:val="26"/>
          <w:szCs w:val="27"/>
        </w:rPr>
        <w:t xml:space="preserve">  (doscientos veinticinco mil setecientos ochenta y cuatro); de fecha 4 cuatro de julio del año 2014 dos mil catorce; por el que se valuó </w:t>
      </w:r>
      <w:r w:rsidR="00524B5B">
        <w:rPr>
          <w:rFonts w:ascii="Calibri" w:hAnsi="Calibri"/>
          <w:color w:val="AEAAAA" w:themeColor="background2" w:themeShade="BF"/>
          <w:sz w:val="26"/>
          <w:szCs w:val="27"/>
        </w:rPr>
        <w:t>el inmueble en la cantidad de $</w:t>
      </w:r>
      <w:r w:rsidR="005047E9">
        <w:rPr>
          <w:rFonts w:ascii="Calibri" w:hAnsi="Calibri"/>
          <w:color w:val="AEAAAA" w:themeColor="background2" w:themeShade="BF"/>
          <w:sz w:val="26"/>
          <w:szCs w:val="27"/>
        </w:rPr>
        <w:t xml:space="preserve">516,194.42 Quinientos dieciséis mil ciento noventa y cuatro 42/100 Moneda </w:t>
      </w:r>
    </w:p>
    <w:p w:rsidR="00085290" w:rsidRDefault="00085290" w:rsidP="00085290">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590/2014-JN</w:t>
      </w:r>
    </w:p>
    <w:p w:rsidR="00085290" w:rsidRDefault="00085290" w:rsidP="005047E9">
      <w:pPr>
        <w:pStyle w:val="Textoindependiente"/>
        <w:ind w:firstLine="708"/>
        <w:rPr>
          <w:rFonts w:ascii="Calibri" w:hAnsi="Calibri"/>
          <w:color w:val="AEAAAA" w:themeColor="background2" w:themeShade="BF"/>
          <w:sz w:val="26"/>
          <w:szCs w:val="27"/>
        </w:rPr>
      </w:pPr>
    </w:p>
    <w:p w:rsidR="009E1DEC" w:rsidRDefault="005047E9" w:rsidP="00085290">
      <w:pPr>
        <w:pStyle w:val="Textoindependiente"/>
        <w:rPr>
          <w:rFonts w:ascii="Calibri" w:hAnsi="Calibri"/>
          <w:color w:val="AEAAAA" w:themeColor="background2" w:themeShade="BF"/>
          <w:sz w:val="26"/>
          <w:szCs w:val="27"/>
        </w:rPr>
      </w:pPr>
      <w:r>
        <w:rPr>
          <w:rFonts w:ascii="Calibri" w:hAnsi="Calibri"/>
          <w:color w:val="AEAAAA" w:themeColor="background2" w:themeShade="BF"/>
          <w:sz w:val="26"/>
          <w:szCs w:val="27"/>
        </w:rPr>
        <w:t xml:space="preserve">Nacional); </w:t>
      </w:r>
      <w:r w:rsidR="009E1DEC" w:rsidRPr="009E1DEC">
        <w:rPr>
          <w:rFonts w:ascii="Calibri" w:hAnsi="Calibri"/>
          <w:color w:val="AEAAAA" w:themeColor="background2" w:themeShade="BF"/>
          <w:sz w:val="26"/>
          <w:szCs w:val="27"/>
        </w:rPr>
        <w:t xml:space="preserve">asimismo, por ser consecuencia del señalado avalúo, se decreta también la </w:t>
      </w:r>
      <w:r w:rsidR="009E1DEC" w:rsidRPr="009E1DEC">
        <w:rPr>
          <w:rFonts w:ascii="Calibri" w:hAnsi="Calibri"/>
          <w:b/>
          <w:bCs/>
          <w:color w:val="AEAAAA" w:themeColor="background2" w:themeShade="BF"/>
          <w:sz w:val="26"/>
          <w:szCs w:val="27"/>
        </w:rPr>
        <w:t xml:space="preserve">nulidad total </w:t>
      </w:r>
      <w:r w:rsidR="009E1DEC" w:rsidRPr="009E1DEC">
        <w:rPr>
          <w:rFonts w:ascii="Calibri" w:hAnsi="Calibri"/>
          <w:color w:val="AEAAAA" w:themeColor="background2" w:themeShade="BF"/>
          <w:sz w:val="26"/>
          <w:szCs w:val="27"/>
        </w:rPr>
        <w:t xml:space="preserve">de la </w:t>
      </w:r>
      <w:r w:rsidR="009E1DEC" w:rsidRPr="00524B5B">
        <w:rPr>
          <w:rFonts w:ascii="Calibri" w:hAnsi="Calibri"/>
          <w:b/>
          <w:color w:val="AEAAAA" w:themeColor="background2" w:themeShade="BF"/>
          <w:sz w:val="26"/>
          <w:szCs w:val="27"/>
        </w:rPr>
        <w:t>fijación o determinación</w:t>
      </w:r>
      <w:r w:rsidR="009E1DEC" w:rsidRPr="009E1DEC">
        <w:rPr>
          <w:rFonts w:ascii="Calibri" w:hAnsi="Calibri"/>
          <w:color w:val="AEAAAA" w:themeColor="background2" w:themeShade="BF"/>
          <w:sz w:val="26"/>
          <w:szCs w:val="27"/>
        </w:rPr>
        <w:t xml:space="preserve"> del impuesto predial </w:t>
      </w:r>
      <w:r w:rsidR="00524B5B">
        <w:rPr>
          <w:rFonts w:ascii="Calibri" w:hAnsi="Calibri"/>
          <w:color w:val="AEAAAA" w:themeColor="background2" w:themeShade="BF"/>
          <w:sz w:val="26"/>
          <w:szCs w:val="27"/>
        </w:rPr>
        <w:t>– para el año siguiente (2015 dos mil quince)</w:t>
      </w:r>
      <w:r w:rsidR="00005EF0">
        <w:rPr>
          <w:rFonts w:ascii="Calibri" w:hAnsi="Calibri"/>
          <w:color w:val="AEAAAA" w:themeColor="background2" w:themeShade="BF"/>
          <w:sz w:val="26"/>
          <w:szCs w:val="27"/>
        </w:rPr>
        <w:t>-</w:t>
      </w:r>
      <w:r w:rsidR="00524B5B">
        <w:rPr>
          <w:rFonts w:ascii="Calibri" w:hAnsi="Calibri"/>
          <w:color w:val="AEAAAA" w:themeColor="background2" w:themeShade="BF"/>
          <w:sz w:val="26"/>
          <w:szCs w:val="27"/>
        </w:rPr>
        <w:t xml:space="preserve"> </w:t>
      </w:r>
      <w:r w:rsidR="009E1DEC" w:rsidRPr="009E1DEC">
        <w:rPr>
          <w:rFonts w:ascii="Calibri" w:hAnsi="Calibri"/>
          <w:color w:val="AEAAAA" w:themeColor="background2" w:themeShade="BF"/>
          <w:sz w:val="26"/>
          <w:szCs w:val="27"/>
        </w:rPr>
        <w:t>de</w:t>
      </w:r>
      <w:r>
        <w:rPr>
          <w:rFonts w:ascii="Calibri" w:hAnsi="Calibri"/>
          <w:color w:val="AEAAAA" w:themeColor="background2" w:themeShade="BF"/>
          <w:sz w:val="26"/>
          <w:szCs w:val="27"/>
        </w:rPr>
        <w:t>l inmueble con la cuenta número</w:t>
      </w:r>
      <w:r w:rsidR="009E1DEC" w:rsidRPr="009E1DEC">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01 E 001683 001, ubicado en calle Francisco I. Madero, número 102-405 ciento dos guión cuatrocientos ve</w:t>
      </w:r>
      <w:r w:rsidR="00005EF0">
        <w:rPr>
          <w:rFonts w:ascii="Calibri" w:hAnsi="Calibri"/>
          <w:color w:val="AEAAAA" w:themeColor="background2" w:themeShade="BF"/>
          <w:sz w:val="26"/>
          <w:szCs w:val="27"/>
        </w:rPr>
        <w:t>inticinco, Zona Centro de esta ciudad; por la cantidad de $</w:t>
      </w:r>
      <w:r>
        <w:rPr>
          <w:rFonts w:ascii="Calibri" w:hAnsi="Calibri"/>
          <w:color w:val="AEAAAA" w:themeColor="background2" w:themeShade="BF"/>
          <w:sz w:val="26"/>
          <w:szCs w:val="27"/>
        </w:rPr>
        <w:t>1,207.89 (Un mil doscientos siete pesos 89/100 Moneda Nacional)</w:t>
      </w:r>
      <w:r w:rsidR="009E1DEC" w:rsidRPr="009E1DEC">
        <w:rPr>
          <w:rFonts w:ascii="Calibri" w:hAnsi="Calibri"/>
          <w:color w:val="AEAAAA" w:themeColor="background2" w:themeShade="BF"/>
          <w:sz w:val="26"/>
          <w:szCs w:val="27"/>
        </w:rPr>
        <w:t>;</w:t>
      </w:r>
      <w:r>
        <w:rPr>
          <w:rFonts w:ascii="Calibri" w:hAnsi="Calibri"/>
          <w:color w:val="AEAAAA" w:themeColor="background2" w:themeShade="BF"/>
          <w:sz w:val="26"/>
          <w:szCs w:val="27"/>
        </w:rPr>
        <w:t xml:space="preserve"> que se desprende del documento denominado: </w:t>
      </w:r>
      <w:r w:rsidRPr="005047E9">
        <w:rPr>
          <w:rFonts w:ascii="Calibri" w:hAnsi="Calibri"/>
          <w:i/>
          <w:color w:val="AEAAAA" w:themeColor="background2" w:themeShade="BF"/>
          <w:sz w:val="26"/>
          <w:szCs w:val="27"/>
        </w:rPr>
        <w:t>“Notificación”</w:t>
      </w:r>
      <w:r w:rsidR="00085290">
        <w:rPr>
          <w:rFonts w:ascii="Calibri" w:hAnsi="Calibri"/>
          <w:i/>
          <w:color w:val="AEAAAA" w:themeColor="background2" w:themeShade="BF"/>
          <w:sz w:val="26"/>
          <w:szCs w:val="27"/>
        </w:rPr>
        <w:t xml:space="preserve"> </w:t>
      </w:r>
      <w:r>
        <w:rPr>
          <w:rFonts w:ascii="Calibri" w:hAnsi="Calibri"/>
          <w:color w:val="AEAAAA" w:themeColor="background2" w:themeShade="BF"/>
          <w:sz w:val="26"/>
          <w:szCs w:val="27"/>
        </w:rPr>
        <w:t>de fecha 21 veintiuno de julio del año 2014 dos mil catorce, con folio número 1013132;</w:t>
      </w:r>
      <w:r w:rsidR="009E1DEC" w:rsidRPr="009E1DEC">
        <w:rPr>
          <w:rFonts w:ascii="Calibri" w:hAnsi="Calibri"/>
          <w:color w:val="AEAAAA" w:themeColor="background2" w:themeShade="BF"/>
          <w:sz w:val="26"/>
          <w:szCs w:val="27"/>
        </w:rPr>
        <w:t xml:space="preserve"> de acuerdo al principio de Derecho que establece que lo accesorio sigue la suerte de lo principal. </w:t>
      </w:r>
      <w:r w:rsidR="004260AC">
        <w:rPr>
          <w:rFonts w:ascii="Calibri" w:hAnsi="Calibri"/>
          <w:color w:val="AEAAAA" w:themeColor="background2" w:themeShade="BF"/>
          <w:sz w:val="26"/>
          <w:szCs w:val="27"/>
        </w:rPr>
        <w:t xml:space="preserve">. . . . . . . . . . . . . . . . . . . . . . . . . . . . . . . . . . . . . . . . . . . . . . . . . . . . . . . . . . . </w:t>
      </w:r>
      <w:r w:rsidR="00085290">
        <w:rPr>
          <w:rFonts w:ascii="Calibri" w:hAnsi="Calibri"/>
          <w:color w:val="AEAAAA" w:themeColor="background2" w:themeShade="BF"/>
          <w:sz w:val="26"/>
          <w:szCs w:val="27"/>
        </w:rPr>
        <w:t xml:space="preserve">. . </w:t>
      </w:r>
    </w:p>
    <w:p w:rsidR="00524B5B" w:rsidRDefault="00524B5B" w:rsidP="005047E9">
      <w:pPr>
        <w:pStyle w:val="Textoindependiente"/>
        <w:ind w:firstLine="708"/>
        <w:rPr>
          <w:rFonts w:ascii="Calibri" w:hAnsi="Calibri"/>
          <w:color w:val="AEAAAA" w:themeColor="background2" w:themeShade="BF"/>
          <w:sz w:val="26"/>
          <w:szCs w:val="27"/>
        </w:rPr>
      </w:pPr>
    </w:p>
    <w:p w:rsidR="00BB1CDE" w:rsidRDefault="00BB1CDE" w:rsidP="00BB1CDE">
      <w:pPr>
        <w:pStyle w:val="Textoindependiente"/>
        <w:rPr>
          <w:rFonts w:ascii="Calibri" w:hAnsi="Calibri"/>
          <w:color w:val="AEAAAA" w:themeColor="background2" w:themeShade="BF"/>
          <w:sz w:val="26"/>
        </w:rPr>
      </w:pPr>
      <w:r>
        <w:rPr>
          <w:rFonts w:ascii="Calibri" w:hAnsi="Calibri" w:cs="Arial"/>
          <w:b/>
          <w:bCs/>
          <w:i/>
          <w:iCs/>
          <w:color w:val="AEAAAA" w:themeColor="background2" w:themeShade="BF"/>
          <w:sz w:val="22"/>
          <w:szCs w:val="26"/>
          <w:lang w:val="es-ES"/>
        </w:rPr>
        <w:tab/>
      </w:r>
      <w:r>
        <w:rPr>
          <w:rFonts w:ascii="Calibri" w:hAnsi="Calibri" w:cs="Arial"/>
          <w:bCs/>
          <w:iCs/>
          <w:color w:val="AEAAAA" w:themeColor="background2" w:themeShade="BF"/>
          <w:sz w:val="26"/>
          <w:szCs w:val="26"/>
          <w:lang w:val="es-ES"/>
        </w:rPr>
        <w:t xml:space="preserve">En consecuencia, </w:t>
      </w:r>
      <w:r>
        <w:rPr>
          <w:rFonts w:ascii="Calibri" w:hAnsi="Calibri"/>
          <w:color w:val="AEAAAA" w:themeColor="background2" w:themeShade="BF"/>
          <w:sz w:val="26"/>
        </w:rPr>
        <w:t xml:space="preserve">las autoridades demandadas, para la determinación de un crédito fiscal y requerimiento del mismo, </w:t>
      </w:r>
      <w:r>
        <w:rPr>
          <w:rFonts w:ascii="Calibri" w:hAnsi="Calibri"/>
          <w:b/>
          <w:color w:val="AEAAAA" w:themeColor="background2" w:themeShade="BF"/>
          <w:sz w:val="26"/>
        </w:rPr>
        <w:t>deberán tomar</w:t>
      </w:r>
      <w:r>
        <w:rPr>
          <w:rFonts w:ascii="Calibri" w:hAnsi="Calibri"/>
          <w:color w:val="AEAAAA" w:themeColor="background2" w:themeShade="BF"/>
          <w:sz w:val="26"/>
        </w:rPr>
        <w:t xml:space="preserve"> como valor del inmueble, -en tanto no se practique un avalúo siguiendo lo previsto en la Ley de Hacienda para los Municipios del Estado de Guanajuato-, el valor fiscal registrado anterior al valor decretado nulo; por lo que deberán hacer los ajustes en sus archivos, expedientes y asientos, que resulten necesarios. . . . . . . . . . . . . . . . . . . . .</w:t>
      </w:r>
    </w:p>
    <w:p w:rsidR="00BB1CDE" w:rsidRDefault="00BB1CDE" w:rsidP="00BB1CDE">
      <w:pPr>
        <w:pStyle w:val="Textoindependiente"/>
        <w:rPr>
          <w:rFonts w:ascii="Calibri" w:hAnsi="Calibri"/>
          <w:color w:val="AEAAAA" w:themeColor="background2" w:themeShade="BF"/>
          <w:sz w:val="26"/>
          <w:szCs w:val="27"/>
        </w:rPr>
      </w:pPr>
    </w:p>
    <w:p w:rsidR="00524B5B" w:rsidRPr="009E1DEC" w:rsidRDefault="00524B5B" w:rsidP="00524B5B">
      <w:pPr>
        <w:pStyle w:val="Textoindependiente"/>
        <w:ind w:firstLine="708"/>
        <w:rPr>
          <w:rFonts w:asciiTheme="minorHAnsi" w:hAnsiTheme="minorHAnsi" w:cs="Arial"/>
          <w:iCs/>
          <w:color w:val="AEAAAA" w:themeColor="background2" w:themeShade="BF"/>
          <w:sz w:val="26"/>
          <w:szCs w:val="26"/>
        </w:rPr>
      </w:pPr>
      <w:r>
        <w:rPr>
          <w:rFonts w:asciiTheme="minorHAnsi" w:hAnsiTheme="minorHAnsi"/>
          <w:color w:val="AEAAAA" w:themeColor="background2" w:themeShade="BF"/>
          <w:sz w:val="26"/>
          <w:szCs w:val="26"/>
          <w:lang w:eastAsia="es-MX"/>
        </w:rPr>
        <w:t xml:space="preserve">Ahora bien, </w:t>
      </w:r>
      <w:r w:rsidRPr="009E1DEC">
        <w:rPr>
          <w:rFonts w:asciiTheme="minorHAnsi" w:hAnsiTheme="minorHAnsi"/>
          <w:color w:val="AEAAAA" w:themeColor="background2" w:themeShade="BF"/>
          <w:sz w:val="26"/>
          <w:szCs w:val="26"/>
          <w:lang w:eastAsia="es-MX"/>
        </w:rPr>
        <w:t>en relación a las excepciones y defensas que oponen las autoridades demandadas, se  expresa lo siguiente: . . . . . . . . . . . . . . . . . . . . . . . . . .</w:t>
      </w:r>
    </w:p>
    <w:p w:rsidR="00524B5B" w:rsidRPr="009E1DEC" w:rsidRDefault="00524B5B" w:rsidP="00524B5B">
      <w:pPr>
        <w:pStyle w:val="Textoindependiente"/>
        <w:ind w:firstLine="708"/>
        <w:rPr>
          <w:rFonts w:ascii="Calibri" w:hAnsi="Calibri" w:cs="Calibri"/>
          <w:color w:val="AEAAAA" w:themeColor="background2" w:themeShade="BF"/>
          <w:sz w:val="26"/>
          <w:szCs w:val="26"/>
        </w:rPr>
      </w:pPr>
    </w:p>
    <w:p w:rsidR="00524B5B" w:rsidRPr="009E1DEC" w:rsidRDefault="00524B5B" w:rsidP="00524B5B">
      <w:pPr>
        <w:pStyle w:val="Textoindependiente"/>
        <w:rPr>
          <w:rFonts w:ascii="Calibri" w:hAnsi="Calibri" w:cs="Calibri"/>
          <w:color w:val="AEAAAA" w:themeColor="background2" w:themeShade="BF"/>
          <w:sz w:val="26"/>
          <w:szCs w:val="26"/>
        </w:rPr>
      </w:pPr>
      <w:r w:rsidRPr="009E1DEC">
        <w:rPr>
          <w:rFonts w:ascii="Calibri" w:hAnsi="Calibri" w:cs="Calibri"/>
          <w:color w:val="AEAAAA" w:themeColor="background2" w:themeShade="BF"/>
          <w:sz w:val="26"/>
          <w:szCs w:val="26"/>
        </w:rPr>
        <w:tab/>
        <w:t xml:space="preserve">a).- Tocante a la excepción de </w:t>
      </w:r>
      <w:r w:rsidRPr="009E1DEC">
        <w:rPr>
          <w:rFonts w:ascii="Calibri" w:hAnsi="Calibri" w:cs="Calibri"/>
          <w:i/>
          <w:color w:val="AEAAAA" w:themeColor="background2" w:themeShade="BF"/>
          <w:sz w:val="26"/>
          <w:szCs w:val="26"/>
        </w:rPr>
        <w:t>“Falta de Acción y Carencia de derecho”</w:t>
      </w:r>
      <w:r w:rsidRPr="009E1DEC">
        <w:rPr>
          <w:rFonts w:ascii="Calibri" w:hAnsi="Calibri" w:cs="Calibri"/>
          <w:color w:val="AEAAAA" w:themeColor="background2" w:themeShade="BF"/>
          <w:sz w:val="26"/>
          <w:szCs w:val="26"/>
        </w:rPr>
        <w:t xml:space="preserve">, no opera como excepción o defensa; pues está claro que el ciudadano  </w:t>
      </w:r>
      <w:r w:rsidR="003E60FD">
        <w:rPr>
          <w:rFonts w:ascii="Calibri" w:hAnsi="Calibri" w:cs="Arial"/>
          <w:color w:val="AEAAAA" w:themeColor="background2" w:themeShade="BF"/>
          <w:sz w:val="26"/>
          <w:szCs w:val="27"/>
        </w:rPr>
        <w:t>*****</w:t>
      </w:r>
      <w:r w:rsidRPr="009E1DEC">
        <w:rPr>
          <w:rFonts w:ascii="Calibri" w:hAnsi="Calibri" w:cs="Calibri"/>
          <w:color w:val="AEAAAA" w:themeColor="background2" w:themeShade="BF"/>
          <w:sz w:val="26"/>
          <w:szCs w:val="26"/>
        </w:rPr>
        <w:t xml:space="preserve">, al ser afectado en sus derechos por los actos que impugnó,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w:t>
      </w:r>
      <w:r w:rsidRPr="009E1DEC">
        <w:rPr>
          <w:rFonts w:ascii="Calibri" w:hAnsi="Calibri" w:cs="Calibri"/>
          <w:color w:val="AEAAAA" w:themeColor="background2" w:themeShade="BF"/>
          <w:sz w:val="26"/>
          <w:szCs w:val="26"/>
        </w:rPr>
        <w:lastRenderedPageBreak/>
        <w:t>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w:t>
      </w:r>
      <w:r w:rsidR="001205B0">
        <w:rPr>
          <w:rFonts w:ascii="Calibri" w:hAnsi="Calibri" w:cs="Calibri"/>
          <w:color w:val="AEAAAA" w:themeColor="background2" w:themeShade="BF"/>
          <w:sz w:val="26"/>
          <w:szCs w:val="26"/>
        </w:rPr>
        <w:t>a relación jurídica contenciosa.</w:t>
      </w:r>
      <w:r w:rsidRPr="009E1DEC">
        <w:rPr>
          <w:rFonts w:ascii="Calibri" w:hAnsi="Calibri" w:cs="Calibri"/>
          <w:color w:val="AEAAAA" w:themeColor="background2" w:themeShade="BF"/>
          <w:sz w:val="26"/>
          <w:szCs w:val="26"/>
        </w:rPr>
        <w:t xml:space="preserve"> Interés Jurídico que sí existe, pues es el destinatario de los actos combatidos, al ser el propietario de</w:t>
      </w:r>
      <w:r w:rsidR="001205B0">
        <w:rPr>
          <w:rFonts w:ascii="Calibri" w:hAnsi="Calibri" w:cs="Calibri"/>
          <w:color w:val="AEAAAA" w:themeColor="background2" w:themeShade="BF"/>
          <w:sz w:val="26"/>
          <w:szCs w:val="26"/>
        </w:rPr>
        <w:t xml:space="preserve">l inmueble valuado. . . . . . . . . . . . </w:t>
      </w:r>
    </w:p>
    <w:p w:rsidR="00524B5B" w:rsidRPr="009E1DEC" w:rsidRDefault="00524B5B" w:rsidP="00524B5B">
      <w:pPr>
        <w:pStyle w:val="Textoindependiente"/>
        <w:rPr>
          <w:rFonts w:ascii="Calibri" w:hAnsi="Calibri" w:cs="Calibri"/>
          <w:color w:val="AEAAAA" w:themeColor="background2" w:themeShade="BF"/>
          <w:sz w:val="26"/>
          <w:szCs w:val="26"/>
        </w:rPr>
      </w:pPr>
    </w:p>
    <w:p w:rsidR="00524B5B" w:rsidRPr="009E1DEC" w:rsidRDefault="00524B5B" w:rsidP="00524B5B">
      <w:pPr>
        <w:pStyle w:val="Textoindependiente"/>
        <w:ind w:firstLine="708"/>
        <w:rPr>
          <w:rFonts w:ascii="Calibri" w:hAnsi="Calibri" w:cs="Calibri"/>
          <w:color w:val="AEAAAA" w:themeColor="background2" w:themeShade="BF"/>
          <w:sz w:val="26"/>
          <w:szCs w:val="26"/>
        </w:rPr>
      </w:pPr>
      <w:r w:rsidRPr="009E1DEC">
        <w:rPr>
          <w:rFonts w:ascii="Calibri" w:hAnsi="Calibri" w:cs="Calibri"/>
          <w:color w:val="AEAAAA" w:themeColor="background2" w:themeShade="BF"/>
          <w:sz w:val="26"/>
          <w:szCs w:val="26"/>
        </w:rPr>
        <w:t xml:space="preserve">b).- Respecto de la excepción derivada de los artículos 136, 137 y 138 del Código de Procedimiento y Justicia Administrativa para el Estado y los Municipios de Guanajuato; al reunir los actos impugnados todos los requisitos de los numerales en cita; no opera la misma, pues como ya se señaló, al hacerse el estudio correspondiente en este mismo </w:t>
      </w:r>
      <w:r w:rsidR="00F86227">
        <w:rPr>
          <w:rFonts w:ascii="Calibri" w:hAnsi="Calibri" w:cs="Calibri"/>
          <w:color w:val="AEAAAA" w:themeColor="background2" w:themeShade="BF"/>
          <w:sz w:val="26"/>
          <w:szCs w:val="26"/>
        </w:rPr>
        <w:t>c</w:t>
      </w:r>
      <w:r w:rsidRPr="009E1DEC">
        <w:rPr>
          <w:rFonts w:ascii="Calibri" w:hAnsi="Calibri" w:cs="Calibri"/>
          <w:color w:val="AEAAAA" w:themeColor="background2" w:themeShade="BF"/>
          <w:sz w:val="26"/>
          <w:szCs w:val="26"/>
        </w:rPr>
        <w:t>onsiderando, procedió decretar la  nulidad de los actos impugnados, al encontrarse deficientemente fundados y motivados. . . . . . . . . . . . . . . . . . . . . . . . . . . . . . . . . . . . . . . . . . . . .</w:t>
      </w:r>
      <w:r w:rsidR="001205B0">
        <w:rPr>
          <w:rFonts w:ascii="Calibri" w:hAnsi="Calibri" w:cs="Calibri"/>
          <w:color w:val="AEAAAA" w:themeColor="background2" w:themeShade="BF"/>
          <w:sz w:val="26"/>
          <w:szCs w:val="26"/>
        </w:rPr>
        <w:t xml:space="preserve"> . . . . . . . . . . . . . . . </w:t>
      </w:r>
    </w:p>
    <w:p w:rsidR="00524B5B" w:rsidRPr="009E1DEC" w:rsidRDefault="00524B5B" w:rsidP="00524B5B">
      <w:pPr>
        <w:pStyle w:val="Textoindependiente"/>
        <w:rPr>
          <w:rFonts w:ascii="Calibri" w:hAnsi="Calibri" w:cs="Calibri"/>
          <w:color w:val="AEAAAA" w:themeColor="background2" w:themeShade="BF"/>
          <w:sz w:val="26"/>
          <w:szCs w:val="26"/>
        </w:rPr>
      </w:pPr>
    </w:p>
    <w:p w:rsidR="00524B5B" w:rsidRPr="009E1DEC" w:rsidRDefault="00524B5B" w:rsidP="00524B5B">
      <w:pPr>
        <w:pStyle w:val="Textoindependiente"/>
        <w:ind w:firstLine="708"/>
        <w:rPr>
          <w:rFonts w:ascii="Calibri" w:hAnsi="Calibri" w:cs="Calibri"/>
          <w:color w:val="AEAAAA" w:themeColor="background2" w:themeShade="BF"/>
          <w:sz w:val="26"/>
          <w:szCs w:val="26"/>
        </w:rPr>
      </w:pPr>
      <w:r w:rsidRPr="009E1DEC">
        <w:rPr>
          <w:rFonts w:ascii="Calibri" w:hAnsi="Calibri" w:cs="Calibri"/>
          <w:color w:val="AEAAAA" w:themeColor="background2" w:themeShade="BF"/>
          <w:sz w:val="26"/>
          <w:szCs w:val="26"/>
        </w:rPr>
        <w:t xml:space="preserve">c).- De igual manera tampoco opera la defensa de la </w:t>
      </w:r>
      <w:r w:rsidRPr="009E1DEC">
        <w:rPr>
          <w:rFonts w:ascii="Calibri" w:hAnsi="Calibri" w:cs="Calibri"/>
          <w:i/>
          <w:color w:val="AEAAAA" w:themeColor="background2" w:themeShade="BF"/>
          <w:sz w:val="26"/>
          <w:szCs w:val="26"/>
        </w:rPr>
        <w:t xml:space="preserve">“Non </w:t>
      </w:r>
      <w:proofErr w:type="spellStart"/>
      <w:r w:rsidRPr="009E1DEC">
        <w:rPr>
          <w:rFonts w:ascii="Calibri" w:hAnsi="Calibri" w:cs="Calibri"/>
          <w:i/>
          <w:color w:val="AEAAAA" w:themeColor="background2" w:themeShade="BF"/>
          <w:sz w:val="26"/>
          <w:szCs w:val="26"/>
        </w:rPr>
        <w:t>Mutati</w:t>
      </w:r>
      <w:proofErr w:type="spellEnd"/>
      <w:r w:rsidRPr="009E1DEC">
        <w:rPr>
          <w:rFonts w:ascii="Calibri" w:hAnsi="Calibri" w:cs="Calibri"/>
          <w:i/>
          <w:color w:val="AEAAAA" w:themeColor="background2" w:themeShade="BF"/>
          <w:sz w:val="26"/>
          <w:szCs w:val="26"/>
        </w:rPr>
        <w:t xml:space="preserve"> </w:t>
      </w:r>
      <w:proofErr w:type="spellStart"/>
      <w:r w:rsidRPr="009E1DEC">
        <w:rPr>
          <w:rFonts w:ascii="Calibri" w:hAnsi="Calibri" w:cs="Calibri"/>
          <w:i/>
          <w:color w:val="AEAAAA" w:themeColor="background2" w:themeShade="BF"/>
          <w:sz w:val="26"/>
          <w:szCs w:val="26"/>
        </w:rPr>
        <w:t>Libeli</w:t>
      </w:r>
      <w:proofErr w:type="spellEnd"/>
      <w:r w:rsidRPr="009E1DEC">
        <w:rPr>
          <w:rFonts w:ascii="Calibri" w:hAnsi="Calibri" w:cs="Calibri"/>
          <w:i/>
          <w:color w:val="AEAAAA" w:themeColor="background2" w:themeShade="BF"/>
          <w:sz w:val="26"/>
          <w:szCs w:val="26"/>
        </w:rPr>
        <w:t>”</w:t>
      </w:r>
      <w:r w:rsidRPr="009E1DEC">
        <w:rPr>
          <w:rFonts w:ascii="Calibri" w:hAnsi="Calibri" w:cs="Calibri"/>
          <w:color w:val="AEAAAA" w:themeColor="background2" w:themeShade="BF"/>
          <w:sz w:val="26"/>
          <w:szCs w:val="26"/>
        </w:rPr>
        <w:t>, toda vez que en un proceso administrativo, el actor sólo puede perfeccionar su demanda ya sea aclarándola, corrigiéndola o bien, completándola a requerimiento de este Órgano Jurisdiccional, de acuerdo a lo establecido por el artículo 265 del ya citado Código de Procedimiento y Justicia Administra</w:t>
      </w:r>
      <w:r w:rsidR="00207DF1">
        <w:rPr>
          <w:rFonts w:ascii="Calibri" w:hAnsi="Calibri" w:cs="Calibri"/>
          <w:color w:val="AEAAAA" w:themeColor="background2" w:themeShade="BF"/>
          <w:sz w:val="26"/>
          <w:szCs w:val="26"/>
        </w:rPr>
        <w:t>tiva . . . . .</w:t>
      </w:r>
    </w:p>
    <w:p w:rsidR="00524B5B" w:rsidRDefault="00524B5B" w:rsidP="00524B5B">
      <w:pPr>
        <w:pStyle w:val="Textoindependiente"/>
        <w:rPr>
          <w:rFonts w:ascii="Calibri" w:hAnsi="Calibri" w:cs="Arial"/>
          <w:i/>
          <w:iCs/>
          <w:color w:val="AEAAAA" w:themeColor="background2" w:themeShade="BF"/>
          <w:sz w:val="22"/>
          <w:szCs w:val="26"/>
        </w:rPr>
      </w:pPr>
    </w:p>
    <w:p w:rsidR="00524B5B" w:rsidRPr="00207DF1" w:rsidRDefault="00524B5B" w:rsidP="00005EF0">
      <w:pPr>
        <w:pStyle w:val="Textoindependiente"/>
        <w:ind w:firstLine="708"/>
        <w:rPr>
          <w:rFonts w:ascii="Calibri" w:hAnsi="Calibri" w:cs="Calibri"/>
          <w:color w:val="AEAAAA" w:themeColor="background2" w:themeShade="BF"/>
          <w:sz w:val="26"/>
          <w:szCs w:val="26"/>
        </w:rPr>
      </w:pPr>
      <w:r w:rsidRPr="00EB27F7">
        <w:rPr>
          <w:rFonts w:ascii="Calibri" w:hAnsi="Calibri" w:cs="Arial"/>
          <w:iCs/>
          <w:color w:val="AEAAAA" w:themeColor="background2" w:themeShade="BF"/>
          <w:sz w:val="26"/>
          <w:szCs w:val="26"/>
        </w:rPr>
        <w:t xml:space="preserve">Por último, </w:t>
      </w:r>
      <w:r>
        <w:rPr>
          <w:rFonts w:ascii="Calibri" w:hAnsi="Calibri" w:cs="Arial"/>
          <w:iCs/>
          <w:color w:val="AEAAAA" w:themeColor="background2" w:themeShade="BF"/>
          <w:sz w:val="26"/>
          <w:szCs w:val="26"/>
        </w:rPr>
        <w:t xml:space="preserve">y en relación a la prueba </w:t>
      </w:r>
      <w:proofErr w:type="spellStart"/>
      <w:r>
        <w:rPr>
          <w:rFonts w:ascii="Calibri" w:hAnsi="Calibri" w:cs="Arial"/>
          <w:iCs/>
          <w:color w:val="AEAAAA" w:themeColor="background2" w:themeShade="BF"/>
          <w:sz w:val="26"/>
          <w:szCs w:val="26"/>
        </w:rPr>
        <w:t>inspeccional</w:t>
      </w:r>
      <w:proofErr w:type="spellEnd"/>
      <w:r>
        <w:rPr>
          <w:rFonts w:ascii="Calibri" w:hAnsi="Calibri" w:cs="Arial"/>
          <w:iCs/>
          <w:color w:val="AEAAAA" w:themeColor="background2" w:themeShade="BF"/>
          <w:sz w:val="26"/>
          <w:szCs w:val="26"/>
        </w:rPr>
        <w:t>, efectuada e</w:t>
      </w:r>
      <w:r w:rsidRPr="009E1DEC">
        <w:rPr>
          <w:rFonts w:ascii="Calibri" w:hAnsi="Calibri"/>
          <w:color w:val="AEAAAA" w:themeColor="background2" w:themeShade="BF"/>
          <w:sz w:val="26"/>
        </w:rPr>
        <w:t>n fecha 1</w:t>
      </w:r>
      <w:r>
        <w:rPr>
          <w:rFonts w:ascii="Calibri" w:hAnsi="Calibri"/>
          <w:color w:val="AEAAAA" w:themeColor="background2" w:themeShade="BF"/>
          <w:sz w:val="26"/>
        </w:rPr>
        <w:t>9</w:t>
      </w:r>
      <w:r w:rsidRPr="009E1DEC">
        <w:rPr>
          <w:rFonts w:ascii="Calibri" w:hAnsi="Calibri"/>
          <w:color w:val="AEAAAA" w:themeColor="background2" w:themeShade="BF"/>
          <w:sz w:val="26"/>
        </w:rPr>
        <w:t xml:space="preserve"> d</w:t>
      </w:r>
      <w:r>
        <w:rPr>
          <w:rFonts w:ascii="Calibri" w:hAnsi="Calibri"/>
          <w:color w:val="AEAAAA" w:themeColor="background2" w:themeShade="BF"/>
          <w:sz w:val="26"/>
        </w:rPr>
        <w:t>iecinueve</w:t>
      </w:r>
      <w:r w:rsidRPr="009E1DEC">
        <w:rPr>
          <w:rFonts w:ascii="Calibri" w:hAnsi="Calibri"/>
          <w:color w:val="AEAAAA" w:themeColor="background2" w:themeShade="BF"/>
          <w:sz w:val="26"/>
        </w:rPr>
        <w:t xml:space="preserve"> de noviembre del año 2014 dos mil catorce, a las 11:00 once horas; del inmueble ubicado en </w:t>
      </w:r>
      <w:r>
        <w:rPr>
          <w:rFonts w:ascii="Calibri" w:hAnsi="Calibri"/>
          <w:color w:val="AEAAAA" w:themeColor="background2" w:themeShade="BF"/>
          <w:sz w:val="26"/>
        </w:rPr>
        <w:t xml:space="preserve">Portal Bravo número 2 dos, del condominio Plaza de la zona centro, de esta ciudad; de que se apreció únicamente que se trata de un edificio con varios despachos y que el señalado con el </w:t>
      </w:r>
      <w:r w:rsidR="00005EF0">
        <w:rPr>
          <w:rFonts w:ascii="Calibri" w:hAnsi="Calibri"/>
          <w:color w:val="AEAAAA" w:themeColor="background2" w:themeShade="BF"/>
          <w:sz w:val="26"/>
        </w:rPr>
        <w:t xml:space="preserve">número 415 cuatrocientos quince y </w:t>
      </w:r>
      <w:r>
        <w:rPr>
          <w:rFonts w:ascii="Calibri" w:hAnsi="Calibri"/>
          <w:color w:val="AEAAAA" w:themeColor="background2" w:themeShade="BF"/>
          <w:sz w:val="26"/>
        </w:rPr>
        <w:t xml:space="preserve">que tal despacho cuenta con una recepción y un privado; </w:t>
      </w:r>
      <w:proofErr w:type="spellStart"/>
      <w:r w:rsidR="00005EF0">
        <w:rPr>
          <w:rFonts w:ascii="Calibri" w:hAnsi="Calibri"/>
          <w:color w:val="AEAAAA" w:themeColor="background2" w:themeShade="BF"/>
          <w:sz w:val="26"/>
        </w:rPr>
        <w:t>sim</w:t>
      </w:r>
      <w:proofErr w:type="spellEnd"/>
      <w:r w:rsidR="00005EF0">
        <w:rPr>
          <w:rFonts w:ascii="Calibri" w:hAnsi="Calibri"/>
          <w:color w:val="AEAAAA" w:themeColor="background2" w:themeShade="BF"/>
          <w:sz w:val="26"/>
        </w:rPr>
        <w:t xml:space="preserve"> embargo no </w:t>
      </w:r>
      <w:r>
        <w:rPr>
          <w:rFonts w:ascii="Calibri" w:hAnsi="Calibri"/>
          <w:color w:val="AEAAAA" w:themeColor="background2" w:themeShade="BF"/>
          <w:sz w:val="26"/>
        </w:rPr>
        <w:t xml:space="preserve">se le otorga valor probatorio </w:t>
      </w:r>
      <w:r w:rsidR="00005EF0">
        <w:rPr>
          <w:rFonts w:ascii="Calibri" w:hAnsi="Calibri"/>
          <w:color w:val="AEAAAA" w:themeColor="background2" w:themeShade="BF"/>
          <w:sz w:val="26"/>
        </w:rPr>
        <w:t>alguno</w:t>
      </w:r>
      <w:r w:rsidR="00B61E60">
        <w:rPr>
          <w:rFonts w:ascii="Calibri" w:hAnsi="Calibri"/>
          <w:color w:val="AEAAAA" w:themeColor="background2" w:themeShade="BF"/>
          <w:sz w:val="26"/>
        </w:rPr>
        <w:t xml:space="preserve">, de conformidad con lo establecido en el artículo 124, del Código de Procedimiento y Justicia Administrativa para el Estado y los Municipios de Guanajuato; </w:t>
      </w:r>
      <w:r w:rsidR="00005EF0">
        <w:rPr>
          <w:rFonts w:ascii="Calibri" w:hAnsi="Calibri"/>
          <w:color w:val="AEAAAA" w:themeColor="background2" w:themeShade="BF"/>
          <w:sz w:val="26"/>
        </w:rPr>
        <w:t xml:space="preserve">ya que no sirve </w:t>
      </w:r>
      <w:r>
        <w:rPr>
          <w:rFonts w:ascii="Calibri" w:hAnsi="Calibri"/>
          <w:color w:val="AEAAAA" w:themeColor="background2" w:themeShade="BF"/>
          <w:sz w:val="26"/>
        </w:rPr>
        <w:t xml:space="preserve">para acreditar la naturaleza de la construcción, como se ofreció por la parte actora, pues ello sería </w:t>
      </w:r>
      <w:r w:rsidRPr="00207DF1">
        <w:rPr>
          <w:rFonts w:ascii="Calibri" w:hAnsi="Calibri"/>
          <w:color w:val="AEAAAA" w:themeColor="background2" w:themeShade="BF"/>
          <w:sz w:val="26"/>
        </w:rPr>
        <w:t>materia de otro medio de prueba</w:t>
      </w:r>
      <w:r w:rsidR="00207DF1">
        <w:rPr>
          <w:rFonts w:ascii="Calibri" w:hAnsi="Calibri"/>
          <w:color w:val="AEAAAA" w:themeColor="background2" w:themeShade="BF"/>
          <w:sz w:val="26"/>
        </w:rPr>
        <w:t>;</w:t>
      </w:r>
      <w:r w:rsidR="00005EF0" w:rsidRPr="00207DF1">
        <w:rPr>
          <w:rFonts w:ascii="Calibri" w:hAnsi="Calibri"/>
          <w:color w:val="AEAAAA" w:themeColor="background2" w:themeShade="BF"/>
          <w:sz w:val="26"/>
        </w:rPr>
        <w:t xml:space="preserve"> amén de que no existe una coincidencia entre el domicilio asentado en el avalúo (</w:t>
      </w:r>
      <w:r w:rsidR="00207DF1">
        <w:rPr>
          <w:rFonts w:ascii="Calibri" w:hAnsi="Calibri"/>
          <w:color w:val="AEAAAA" w:themeColor="background2" w:themeShade="BF"/>
          <w:sz w:val="26"/>
        </w:rPr>
        <w:t xml:space="preserve">que es </w:t>
      </w:r>
      <w:r w:rsidR="00005EF0" w:rsidRPr="00207DF1">
        <w:rPr>
          <w:rFonts w:ascii="Calibri" w:hAnsi="Calibri"/>
          <w:color w:val="AEAAAA" w:themeColor="background2" w:themeShade="BF"/>
          <w:sz w:val="26"/>
        </w:rPr>
        <w:t>Francisco I. Madero número 102-415 ciento dos guion cuatrocientos quince) con el del inmueble donde se practicó la inspección</w:t>
      </w:r>
      <w:r w:rsidRPr="00207DF1">
        <w:rPr>
          <w:rFonts w:ascii="Calibri" w:hAnsi="Calibri"/>
          <w:color w:val="AEAAAA" w:themeColor="background2" w:themeShade="BF"/>
          <w:sz w:val="26"/>
        </w:rPr>
        <w:t xml:space="preserve"> . </w:t>
      </w:r>
    </w:p>
    <w:p w:rsidR="009E1DEC" w:rsidRPr="009E1DEC" w:rsidRDefault="009E1DEC" w:rsidP="00005EF0">
      <w:pPr>
        <w:pStyle w:val="Textoindependiente"/>
        <w:rPr>
          <w:rFonts w:ascii="Calibri" w:hAnsi="Calibri"/>
          <w:color w:val="AEAAAA" w:themeColor="background2" w:themeShade="BF"/>
          <w:sz w:val="22"/>
          <w:szCs w:val="26"/>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Por lo anteriormente expuesto, y con fundamento además en lo dispuesto en los artículos 249, 287, 298, 299, 300, fracción II; y, 302, fracción  II, del </w:t>
      </w:r>
      <w:r w:rsidRPr="009E1DEC">
        <w:rPr>
          <w:rFonts w:ascii="Calibri" w:hAnsi="Calibri"/>
          <w:color w:val="AEAAAA" w:themeColor="background2" w:themeShade="BF"/>
          <w:sz w:val="26"/>
          <w:szCs w:val="26"/>
        </w:rPr>
        <w:t>Código de Procedimiento y Justicia Administrativa para el Estado y los Municipios de Guanajuato,</w:t>
      </w:r>
      <w:r w:rsidRPr="009E1DEC">
        <w:rPr>
          <w:rFonts w:ascii="Calibri" w:hAnsi="Calibri" w:cs="Arial"/>
          <w:color w:val="AEAAAA" w:themeColor="background2" w:themeShade="BF"/>
          <w:sz w:val="26"/>
          <w:szCs w:val="26"/>
        </w:rPr>
        <w:t xml:space="preserve"> es de resolverse y se. </w:t>
      </w:r>
      <w:r w:rsidRPr="009E1DEC">
        <w:rPr>
          <w:rFonts w:ascii="Calibri" w:hAnsi="Calibri"/>
          <w:color w:val="AEAAAA" w:themeColor="background2" w:themeShade="BF"/>
          <w:sz w:val="26"/>
          <w:szCs w:val="26"/>
        </w:rPr>
        <w:t xml:space="preserve">. </w:t>
      </w:r>
      <w:r w:rsidRPr="009E1DEC">
        <w:rPr>
          <w:rFonts w:ascii="Calibri" w:hAnsi="Calibri" w:cs="Arial"/>
          <w:color w:val="AEAAAA" w:themeColor="background2" w:themeShade="BF"/>
          <w:sz w:val="26"/>
          <w:szCs w:val="26"/>
        </w:rPr>
        <w:t>. . . . . . . . . . . . . . . . . . . . . . . . . . . . . . . . . . . . . . .</w:t>
      </w:r>
    </w:p>
    <w:p w:rsidR="009E1DEC" w:rsidRPr="00B61E60" w:rsidRDefault="009E1DEC" w:rsidP="009E1DEC">
      <w:pPr>
        <w:pStyle w:val="Textoindependiente"/>
        <w:ind w:firstLine="708"/>
        <w:rPr>
          <w:rFonts w:ascii="Calibri" w:hAnsi="Calibri" w:cs="Arial"/>
          <w:color w:val="AEAAAA" w:themeColor="background2" w:themeShade="BF"/>
          <w:sz w:val="20"/>
          <w:szCs w:val="20"/>
        </w:rPr>
      </w:pPr>
    </w:p>
    <w:p w:rsidR="009E1DEC" w:rsidRPr="009E1DEC" w:rsidRDefault="009E1DEC" w:rsidP="009E1DEC">
      <w:pPr>
        <w:pStyle w:val="Textoindependiente"/>
        <w:jc w:val="center"/>
        <w:rPr>
          <w:rFonts w:ascii="Calibri" w:hAnsi="Calibri" w:cs="Arial"/>
          <w:i/>
          <w:iCs/>
          <w:color w:val="AEAAAA" w:themeColor="background2" w:themeShade="BF"/>
          <w:sz w:val="26"/>
          <w:szCs w:val="26"/>
        </w:rPr>
      </w:pPr>
      <w:r w:rsidRPr="009E1DEC">
        <w:rPr>
          <w:rFonts w:ascii="Calibri" w:hAnsi="Calibri" w:cs="Arial"/>
          <w:b/>
          <w:i/>
          <w:iCs/>
          <w:color w:val="AEAAAA" w:themeColor="background2" w:themeShade="BF"/>
          <w:sz w:val="26"/>
          <w:szCs w:val="26"/>
        </w:rPr>
        <w:t xml:space="preserve">R E S U E L V </w:t>
      </w:r>
      <w:proofErr w:type="gramStart"/>
      <w:r w:rsidRPr="009E1DEC">
        <w:rPr>
          <w:rFonts w:ascii="Calibri" w:hAnsi="Calibri" w:cs="Arial"/>
          <w:b/>
          <w:i/>
          <w:iCs/>
          <w:color w:val="AEAAAA" w:themeColor="background2" w:themeShade="BF"/>
          <w:sz w:val="26"/>
          <w:szCs w:val="26"/>
        </w:rPr>
        <w:t xml:space="preserve">E </w:t>
      </w:r>
      <w:r w:rsidRPr="009E1DEC">
        <w:rPr>
          <w:rFonts w:ascii="Calibri" w:hAnsi="Calibri" w:cs="Arial"/>
          <w:i/>
          <w:iCs/>
          <w:color w:val="AEAAAA" w:themeColor="background2" w:themeShade="BF"/>
          <w:sz w:val="26"/>
          <w:szCs w:val="26"/>
        </w:rPr>
        <w:t>:</w:t>
      </w:r>
      <w:proofErr w:type="gramEnd"/>
    </w:p>
    <w:p w:rsidR="009E1DEC" w:rsidRPr="00B61E60" w:rsidRDefault="009E1DEC" w:rsidP="009E1DEC">
      <w:pPr>
        <w:pStyle w:val="Textoindependiente"/>
        <w:rPr>
          <w:rFonts w:ascii="Calibri" w:hAnsi="Calibri" w:cs="Arial"/>
          <w:b/>
          <w:bCs/>
          <w:i/>
          <w:iCs/>
          <w:color w:val="AEAAAA" w:themeColor="background2" w:themeShade="BF"/>
          <w:sz w:val="20"/>
          <w:szCs w:val="20"/>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b/>
          <w:bCs/>
          <w:i/>
          <w:iCs/>
          <w:color w:val="AEAAAA" w:themeColor="background2" w:themeShade="BF"/>
          <w:sz w:val="26"/>
          <w:szCs w:val="26"/>
        </w:rPr>
        <w:t>PRIMERO</w:t>
      </w:r>
      <w:r w:rsidRPr="009E1DEC">
        <w:rPr>
          <w:rFonts w:ascii="Calibri" w:hAnsi="Calibri" w:cs="Arial"/>
          <w:color w:val="AEAAAA" w:themeColor="background2" w:themeShade="BF"/>
          <w:sz w:val="26"/>
          <w:szCs w:val="26"/>
        </w:rPr>
        <w:t xml:space="preserve">.- Este Juzgado Segundo Administrativo Municipal es </w:t>
      </w:r>
      <w:r w:rsidRPr="00005EF0">
        <w:rPr>
          <w:rFonts w:ascii="Calibri" w:hAnsi="Calibri" w:cs="Arial"/>
          <w:b/>
          <w:color w:val="AEAAAA" w:themeColor="background2" w:themeShade="BF"/>
          <w:sz w:val="26"/>
          <w:szCs w:val="26"/>
        </w:rPr>
        <w:t>competente</w:t>
      </w:r>
      <w:r w:rsidRPr="009E1DEC">
        <w:rPr>
          <w:rFonts w:ascii="Calibri" w:hAnsi="Calibri" w:cs="Arial"/>
          <w:color w:val="AEAAAA" w:themeColor="background2" w:themeShade="BF"/>
          <w:sz w:val="26"/>
          <w:szCs w:val="26"/>
        </w:rPr>
        <w:t xml:space="preserve"> para conocer y resolver del presente proceso administrativo. . . . . . . </w:t>
      </w:r>
    </w:p>
    <w:p w:rsidR="009E1DEC" w:rsidRPr="009E1DEC" w:rsidRDefault="009E1DEC" w:rsidP="009E1DEC">
      <w:pPr>
        <w:pStyle w:val="Textoindependiente"/>
        <w:rPr>
          <w:rFonts w:ascii="Calibri" w:hAnsi="Calibri" w:cs="Arial"/>
          <w:color w:val="AEAAAA" w:themeColor="background2" w:themeShade="BF"/>
          <w:sz w:val="22"/>
          <w:szCs w:val="26"/>
        </w:rPr>
      </w:pPr>
    </w:p>
    <w:p w:rsidR="009E1DEC" w:rsidRPr="009E1DEC" w:rsidRDefault="009E1DEC" w:rsidP="009E1DEC">
      <w:pPr>
        <w:ind w:firstLine="708"/>
        <w:jc w:val="both"/>
        <w:rPr>
          <w:rFonts w:ascii="Calibri" w:hAnsi="Calibri" w:cs="Arial"/>
          <w:color w:val="AEAAAA" w:themeColor="background2" w:themeShade="BF"/>
          <w:sz w:val="26"/>
          <w:szCs w:val="26"/>
        </w:rPr>
      </w:pPr>
      <w:r w:rsidRPr="009E1DEC">
        <w:rPr>
          <w:rFonts w:ascii="Calibri" w:hAnsi="Calibri" w:cs="Arial"/>
          <w:b/>
          <w:bCs/>
          <w:i/>
          <w:iCs/>
          <w:color w:val="AEAAAA" w:themeColor="background2" w:themeShade="BF"/>
          <w:sz w:val="26"/>
          <w:szCs w:val="26"/>
        </w:rPr>
        <w:t>SEGUNDO.-</w:t>
      </w:r>
      <w:r w:rsidRPr="009E1DEC">
        <w:rPr>
          <w:rFonts w:ascii="Calibri" w:hAnsi="Calibri" w:cs="Arial"/>
          <w:b/>
          <w:bCs/>
          <w:color w:val="AEAAAA" w:themeColor="background2" w:themeShade="BF"/>
          <w:sz w:val="26"/>
          <w:szCs w:val="26"/>
        </w:rPr>
        <w:t xml:space="preserve"> </w:t>
      </w:r>
      <w:r w:rsidRPr="009E1DEC">
        <w:rPr>
          <w:rFonts w:ascii="Calibri" w:hAnsi="Calibri" w:cs="Arial"/>
          <w:color w:val="AEAAAA" w:themeColor="background2" w:themeShade="BF"/>
          <w:sz w:val="26"/>
          <w:szCs w:val="26"/>
        </w:rPr>
        <w:t xml:space="preserve">Resultó </w:t>
      </w:r>
      <w:r w:rsidRPr="00005EF0">
        <w:rPr>
          <w:rFonts w:ascii="Calibri" w:hAnsi="Calibri" w:cs="Arial"/>
          <w:b/>
          <w:color w:val="AEAAAA" w:themeColor="background2" w:themeShade="BF"/>
          <w:sz w:val="26"/>
          <w:szCs w:val="26"/>
        </w:rPr>
        <w:t>procedente</w:t>
      </w:r>
      <w:r w:rsidRPr="009E1DEC">
        <w:rPr>
          <w:rFonts w:ascii="Calibri" w:hAnsi="Calibri" w:cs="Arial"/>
          <w:color w:val="AEAAAA" w:themeColor="background2" w:themeShade="BF"/>
          <w:sz w:val="26"/>
          <w:szCs w:val="26"/>
        </w:rPr>
        <w:t xml:space="preserve"> el proceso administrativo promovido por el </w:t>
      </w:r>
      <w:r w:rsidR="00005EF0">
        <w:rPr>
          <w:rFonts w:ascii="Calibri" w:hAnsi="Calibri" w:cs="Arial"/>
          <w:color w:val="AEAAAA" w:themeColor="background2" w:themeShade="BF"/>
          <w:sz w:val="26"/>
          <w:szCs w:val="26"/>
        </w:rPr>
        <w:t xml:space="preserve">ciudadano </w:t>
      </w:r>
      <w:r w:rsidR="003E60FD">
        <w:rPr>
          <w:rFonts w:ascii="Calibri" w:hAnsi="Calibri" w:cs="Arial"/>
          <w:color w:val="AEAAAA" w:themeColor="background2" w:themeShade="BF"/>
          <w:sz w:val="26"/>
          <w:szCs w:val="26"/>
        </w:rPr>
        <w:t>*****</w:t>
      </w:r>
      <w:r w:rsidRPr="009E1DEC">
        <w:rPr>
          <w:rFonts w:ascii="Calibri" w:hAnsi="Calibri"/>
          <w:color w:val="AEAAAA" w:themeColor="background2" w:themeShade="BF"/>
          <w:sz w:val="26"/>
          <w:szCs w:val="26"/>
        </w:rPr>
        <w:t xml:space="preserve">. . . . . . . . . . . . . . . . . . . . . . . . . . </w:t>
      </w:r>
      <w:r w:rsidR="00207DF1">
        <w:rPr>
          <w:rFonts w:ascii="Calibri" w:hAnsi="Calibri"/>
          <w:color w:val="AEAAAA" w:themeColor="background2" w:themeShade="BF"/>
          <w:sz w:val="26"/>
          <w:szCs w:val="26"/>
        </w:rPr>
        <w:t xml:space="preserve">. . . . . . </w:t>
      </w:r>
    </w:p>
    <w:p w:rsidR="009E1DEC" w:rsidRPr="00B61E60" w:rsidRDefault="009E1DEC" w:rsidP="009E1DEC">
      <w:pPr>
        <w:jc w:val="both"/>
        <w:rPr>
          <w:rFonts w:ascii="Calibri" w:hAnsi="Calibri" w:cs="Arial"/>
          <w:b/>
          <w:bCs/>
          <w:i/>
          <w:iCs/>
          <w:color w:val="AEAAAA" w:themeColor="background2" w:themeShade="BF"/>
          <w:sz w:val="20"/>
          <w:szCs w:val="20"/>
        </w:rPr>
      </w:pPr>
    </w:p>
    <w:p w:rsidR="009E1DEC" w:rsidRPr="009E1DEC" w:rsidRDefault="009E1DEC" w:rsidP="000B7ECD">
      <w:pPr>
        <w:pStyle w:val="Textoindependiente"/>
        <w:ind w:firstLine="708"/>
        <w:rPr>
          <w:rFonts w:ascii="Calibri" w:hAnsi="Calibri"/>
          <w:color w:val="AEAAAA" w:themeColor="background2" w:themeShade="BF"/>
          <w:sz w:val="26"/>
          <w:szCs w:val="27"/>
        </w:rPr>
      </w:pPr>
      <w:r w:rsidRPr="009E1DEC">
        <w:rPr>
          <w:rFonts w:ascii="Calibri" w:hAnsi="Calibri" w:cs="Arial"/>
          <w:b/>
          <w:bCs/>
          <w:i/>
          <w:iCs/>
          <w:color w:val="AEAAAA" w:themeColor="background2" w:themeShade="BF"/>
          <w:sz w:val="26"/>
          <w:szCs w:val="26"/>
        </w:rPr>
        <w:lastRenderedPageBreak/>
        <w:t xml:space="preserve">TERCERO.- </w:t>
      </w:r>
      <w:r w:rsidRPr="009E1DEC">
        <w:rPr>
          <w:rFonts w:ascii="Calibri" w:hAnsi="Calibri" w:cs="Arial"/>
          <w:color w:val="AEAAAA" w:themeColor="background2" w:themeShade="BF"/>
          <w:sz w:val="26"/>
        </w:rPr>
        <w:t xml:space="preserve">Se decreta </w:t>
      </w:r>
      <w:r w:rsidRPr="009E1DEC">
        <w:rPr>
          <w:rFonts w:ascii="Calibri" w:hAnsi="Calibri" w:cs="Arial"/>
          <w:bCs/>
          <w:color w:val="AEAAAA" w:themeColor="background2" w:themeShade="BF"/>
          <w:sz w:val="26"/>
        </w:rPr>
        <w:t>la</w:t>
      </w:r>
      <w:r w:rsidRPr="009E1DEC">
        <w:rPr>
          <w:rFonts w:ascii="Calibri" w:hAnsi="Calibri" w:cs="Arial"/>
          <w:b/>
          <w:bCs/>
          <w:color w:val="AEAAAA" w:themeColor="background2" w:themeShade="BF"/>
          <w:sz w:val="26"/>
        </w:rPr>
        <w:t xml:space="preserve"> nulidad total </w:t>
      </w:r>
      <w:r w:rsidRPr="009E1DEC">
        <w:rPr>
          <w:rFonts w:ascii="Calibri" w:hAnsi="Calibri" w:cs="Arial"/>
          <w:bCs/>
          <w:color w:val="AEAAAA" w:themeColor="background2" w:themeShade="BF"/>
          <w:sz w:val="26"/>
        </w:rPr>
        <w:t>del</w:t>
      </w:r>
      <w:r w:rsidR="005047E9">
        <w:rPr>
          <w:rFonts w:ascii="Calibri" w:hAnsi="Calibri" w:cs="Arial"/>
          <w:bCs/>
          <w:color w:val="AEAAAA" w:themeColor="background2" w:themeShade="BF"/>
          <w:sz w:val="26"/>
        </w:rPr>
        <w:t xml:space="preserve"> </w:t>
      </w:r>
      <w:r w:rsidR="005047E9" w:rsidRPr="00005EF0">
        <w:rPr>
          <w:rFonts w:ascii="Calibri" w:hAnsi="Calibri"/>
          <w:b/>
          <w:color w:val="AEAAAA" w:themeColor="background2" w:themeShade="BF"/>
          <w:sz w:val="26"/>
          <w:szCs w:val="27"/>
        </w:rPr>
        <w:t>avalúo fiscal</w:t>
      </w:r>
      <w:r w:rsidR="005047E9">
        <w:rPr>
          <w:rFonts w:ascii="Calibri" w:hAnsi="Calibri"/>
          <w:color w:val="AEAAAA" w:themeColor="background2" w:themeShade="BF"/>
          <w:sz w:val="26"/>
          <w:szCs w:val="27"/>
        </w:rPr>
        <w:t xml:space="preserve"> con número de folio </w:t>
      </w:r>
      <w:r w:rsidR="005047E9" w:rsidRPr="00005EF0">
        <w:rPr>
          <w:rFonts w:ascii="Calibri" w:hAnsi="Calibri"/>
          <w:b/>
          <w:color w:val="AEAAAA" w:themeColor="background2" w:themeShade="BF"/>
          <w:sz w:val="26"/>
          <w:szCs w:val="27"/>
        </w:rPr>
        <w:t>225784</w:t>
      </w:r>
      <w:r w:rsidR="005047E9">
        <w:rPr>
          <w:rFonts w:ascii="Calibri" w:hAnsi="Calibri"/>
          <w:color w:val="AEAAAA" w:themeColor="background2" w:themeShade="BF"/>
          <w:sz w:val="26"/>
          <w:szCs w:val="27"/>
        </w:rPr>
        <w:t xml:space="preserve">  (doscientos veinticinco mil setecientos ochenta y cuatro); de fecha 4 cuatro de julio del año 2014 dos mil catorce; por el que se valuó </w:t>
      </w:r>
      <w:r w:rsidR="00005EF0">
        <w:rPr>
          <w:rFonts w:ascii="Calibri" w:hAnsi="Calibri"/>
          <w:color w:val="AEAAAA" w:themeColor="background2" w:themeShade="BF"/>
          <w:sz w:val="26"/>
          <w:szCs w:val="27"/>
        </w:rPr>
        <w:t>el inmueble en la cantidad de $</w:t>
      </w:r>
      <w:r w:rsidR="005047E9">
        <w:rPr>
          <w:rFonts w:ascii="Calibri" w:hAnsi="Calibri"/>
          <w:color w:val="AEAAAA" w:themeColor="background2" w:themeShade="BF"/>
          <w:sz w:val="26"/>
          <w:szCs w:val="27"/>
        </w:rPr>
        <w:t xml:space="preserve">516,194.42 </w:t>
      </w:r>
      <w:r w:rsidR="00005EF0">
        <w:rPr>
          <w:rFonts w:ascii="Calibri" w:hAnsi="Calibri"/>
          <w:color w:val="AEAAAA" w:themeColor="background2" w:themeShade="BF"/>
          <w:sz w:val="26"/>
          <w:szCs w:val="27"/>
        </w:rPr>
        <w:t>(</w:t>
      </w:r>
      <w:r w:rsidR="005047E9">
        <w:rPr>
          <w:rFonts w:ascii="Calibri" w:hAnsi="Calibri"/>
          <w:color w:val="AEAAAA" w:themeColor="background2" w:themeShade="BF"/>
          <w:sz w:val="26"/>
          <w:szCs w:val="27"/>
        </w:rPr>
        <w:t xml:space="preserve">Quinientos dieciséis mil ciento noventa y cuatro 42/100 Moneda Nacional); </w:t>
      </w:r>
      <w:r w:rsidR="005047E9" w:rsidRPr="009E1DEC">
        <w:rPr>
          <w:rFonts w:ascii="Calibri" w:hAnsi="Calibri"/>
          <w:color w:val="AEAAAA" w:themeColor="background2" w:themeShade="BF"/>
          <w:sz w:val="26"/>
          <w:szCs w:val="27"/>
        </w:rPr>
        <w:t xml:space="preserve">asimismo, por ser consecuencia del señalado avalúo, se decreta también la </w:t>
      </w:r>
      <w:r w:rsidR="005047E9" w:rsidRPr="009E1DEC">
        <w:rPr>
          <w:rFonts w:ascii="Calibri" w:hAnsi="Calibri"/>
          <w:b/>
          <w:bCs/>
          <w:color w:val="AEAAAA" w:themeColor="background2" w:themeShade="BF"/>
          <w:sz w:val="26"/>
          <w:szCs w:val="27"/>
        </w:rPr>
        <w:t xml:space="preserve">nulidad total </w:t>
      </w:r>
      <w:r w:rsidR="005047E9" w:rsidRPr="009E1DEC">
        <w:rPr>
          <w:rFonts w:ascii="Calibri" w:hAnsi="Calibri"/>
          <w:color w:val="AEAAAA" w:themeColor="background2" w:themeShade="BF"/>
          <w:sz w:val="26"/>
          <w:szCs w:val="27"/>
        </w:rPr>
        <w:t xml:space="preserve">de la </w:t>
      </w:r>
      <w:r w:rsidR="005047E9" w:rsidRPr="000B7ECD">
        <w:rPr>
          <w:rFonts w:ascii="Calibri" w:hAnsi="Calibri"/>
          <w:b/>
          <w:color w:val="AEAAAA" w:themeColor="background2" w:themeShade="BF"/>
          <w:sz w:val="26"/>
          <w:szCs w:val="27"/>
        </w:rPr>
        <w:t>fijación o determinación</w:t>
      </w:r>
      <w:r w:rsidR="005047E9" w:rsidRPr="009E1DEC">
        <w:rPr>
          <w:rFonts w:ascii="Calibri" w:hAnsi="Calibri"/>
          <w:color w:val="AEAAAA" w:themeColor="background2" w:themeShade="BF"/>
          <w:sz w:val="26"/>
          <w:szCs w:val="27"/>
        </w:rPr>
        <w:t xml:space="preserve"> del impuesto predial </w:t>
      </w:r>
      <w:r w:rsidR="000B7ECD">
        <w:rPr>
          <w:rFonts w:ascii="Calibri" w:hAnsi="Calibri"/>
          <w:color w:val="AEAAAA" w:themeColor="background2" w:themeShade="BF"/>
          <w:sz w:val="26"/>
          <w:szCs w:val="27"/>
        </w:rPr>
        <w:t xml:space="preserve">–para el año siguiente (2015 dos mil quince)- </w:t>
      </w:r>
      <w:r w:rsidR="005047E9" w:rsidRPr="009E1DEC">
        <w:rPr>
          <w:rFonts w:ascii="Calibri" w:hAnsi="Calibri"/>
          <w:color w:val="AEAAAA" w:themeColor="background2" w:themeShade="BF"/>
          <w:sz w:val="26"/>
          <w:szCs w:val="27"/>
        </w:rPr>
        <w:t>del inmueble</w:t>
      </w:r>
      <w:r w:rsidR="00005EF0">
        <w:rPr>
          <w:rFonts w:ascii="Calibri" w:hAnsi="Calibri"/>
          <w:color w:val="AEAAAA" w:themeColor="background2" w:themeShade="BF"/>
          <w:sz w:val="26"/>
          <w:szCs w:val="27"/>
        </w:rPr>
        <w:t>,</w:t>
      </w:r>
      <w:r w:rsidR="005047E9" w:rsidRPr="009E1DEC">
        <w:rPr>
          <w:rFonts w:ascii="Calibri" w:hAnsi="Calibri"/>
          <w:color w:val="AEAAAA" w:themeColor="background2" w:themeShade="BF"/>
          <w:sz w:val="26"/>
          <w:szCs w:val="27"/>
        </w:rPr>
        <w:t xml:space="preserve"> con la cuenta número </w:t>
      </w:r>
      <w:r w:rsidR="005047E9" w:rsidRPr="000B7ECD">
        <w:rPr>
          <w:rFonts w:ascii="Calibri" w:hAnsi="Calibri"/>
          <w:b/>
          <w:color w:val="AEAAAA" w:themeColor="background2" w:themeShade="BF"/>
          <w:sz w:val="26"/>
          <w:szCs w:val="27"/>
        </w:rPr>
        <w:t>01 E 001683 001</w:t>
      </w:r>
      <w:r w:rsidR="005047E9">
        <w:rPr>
          <w:rFonts w:ascii="Calibri" w:hAnsi="Calibri"/>
          <w:color w:val="AEAAAA" w:themeColor="background2" w:themeShade="BF"/>
          <w:sz w:val="26"/>
          <w:szCs w:val="27"/>
        </w:rPr>
        <w:t xml:space="preserve">, ubicado en </w:t>
      </w:r>
      <w:r w:rsidR="00005EF0">
        <w:rPr>
          <w:rFonts w:ascii="Calibri" w:hAnsi="Calibri"/>
          <w:color w:val="AEAAAA" w:themeColor="background2" w:themeShade="BF"/>
          <w:sz w:val="26"/>
          <w:szCs w:val="27"/>
        </w:rPr>
        <w:t>calle Francisco I. Madero número 102-415 ciento dos guion cuatrocientos quince de la Zona C</w:t>
      </w:r>
      <w:r w:rsidR="005047E9">
        <w:rPr>
          <w:rFonts w:ascii="Calibri" w:hAnsi="Calibri"/>
          <w:color w:val="AEAAAA" w:themeColor="background2" w:themeShade="BF"/>
          <w:sz w:val="26"/>
          <w:szCs w:val="27"/>
        </w:rPr>
        <w:t>entro de esta ciudad;</w:t>
      </w:r>
      <w:r w:rsidR="000B7ECD">
        <w:rPr>
          <w:rFonts w:ascii="Calibri" w:hAnsi="Calibri"/>
          <w:color w:val="AEAAAA" w:themeColor="background2" w:themeShade="BF"/>
          <w:sz w:val="26"/>
          <w:szCs w:val="27"/>
        </w:rPr>
        <w:t xml:space="preserve"> por la cantidad de $</w:t>
      </w:r>
      <w:r w:rsidR="005047E9">
        <w:rPr>
          <w:rFonts w:ascii="Calibri" w:hAnsi="Calibri"/>
          <w:color w:val="AEAAAA" w:themeColor="background2" w:themeShade="BF"/>
          <w:sz w:val="26"/>
          <w:szCs w:val="27"/>
        </w:rPr>
        <w:t>1,207.89 (Un mil doscientos siete pesos 89/100 Moneda Nacional)</w:t>
      </w:r>
      <w:r w:rsidR="005047E9" w:rsidRPr="009E1DEC">
        <w:rPr>
          <w:rFonts w:ascii="Calibri" w:hAnsi="Calibri"/>
          <w:color w:val="AEAAAA" w:themeColor="background2" w:themeShade="BF"/>
          <w:sz w:val="26"/>
          <w:szCs w:val="27"/>
        </w:rPr>
        <w:t>;</w:t>
      </w:r>
      <w:r w:rsidR="005047E9">
        <w:rPr>
          <w:rFonts w:ascii="Calibri" w:hAnsi="Calibri"/>
          <w:color w:val="AEAAAA" w:themeColor="background2" w:themeShade="BF"/>
          <w:sz w:val="26"/>
          <w:szCs w:val="27"/>
        </w:rPr>
        <w:t xml:space="preserve"> que se desprende del documento denominado: </w:t>
      </w:r>
      <w:r w:rsidR="005047E9" w:rsidRPr="005047E9">
        <w:rPr>
          <w:rFonts w:ascii="Calibri" w:hAnsi="Calibri"/>
          <w:i/>
          <w:color w:val="AEAAAA" w:themeColor="background2" w:themeShade="BF"/>
          <w:sz w:val="26"/>
          <w:szCs w:val="27"/>
        </w:rPr>
        <w:t>“Notificación”</w:t>
      </w:r>
      <w:r w:rsidR="005047E9">
        <w:rPr>
          <w:rFonts w:ascii="Calibri" w:hAnsi="Calibri"/>
          <w:color w:val="AEAAAA" w:themeColor="background2" w:themeShade="BF"/>
          <w:sz w:val="26"/>
          <w:szCs w:val="27"/>
        </w:rPr>
        <w:t>, de fecha 21 veintiuno de julio del año 2014 dos mil catorce, con folio número 1013132;</w:t>
      </w:r>
      <w:r w:rsidRPr="009E1DEC">
        <w:rPr>
          <w:rFonts w:ascii="Calibri" w:hAnsi="Calibri"/>
          <w:color w:val="AEAAAA" w:themeColor="background2" w:themeShade="BF"/>
          <w:sz w:val="26"/>
          <w:szCs w:val="27"/>
        </w:rPr>
        <w:t xml:space="preserve"> lo anterior </w:t>
      </w:r>
      <w:r w:rsidRPr="009E1DEC">
        <w:rPr>
          <w:rFonts w:ascii="Calibri" w:hAnsi="Calibri" w:cs="Arial"/>
          <w:color w:val="AEAAAA" w:themeColor="background2" w:themeShade="BF"/>
          <w:sz w:val="26"/>
        </w:rPr>
        <w:t xml:space="preserve">de conformidad con las consideraciones lógicas y jurídicas expuestas en el Considerando Sexto de la presente sentencia. . . . . . . . . . . . . . . . . . </w:t>
      </w:r>
      <w:r w:rsidR="00207DF1">
        <w:rPr>
          <w:rFonts w:ascii="Calibri" w:hAnsi="Calibri" w:cs="Arial"/>
          <w:color w:val="AEAAAA" w:themeColor="background2" w:themeShade="BF"/>
          <w:sz w:val="26"/>
        </w:rPr>
        <w:t xml:space="preserve">. . . . . . . . . . . </w:t>
      </w:r>
    </w:p>
    <w:p w:rsidR="009E1DEC" w:rsidRPr="00B61E60" w:rsidRDefault="009E1DEC" w:rsidP="009E1DEC">
      <w:pPr>
        <w:pStyle w:val="Textoindependiente"/>
        <w:rPr>
          <w:rFonts w:ascii="Calibri" w:hAnsi="Calibri"/>
          <w:color w:val="AEAAAA" w:themeColor="background2" w:themeShade="BF"/>
          <w:sz w:val="20"/>
          <w:szCs w:val="20"/>
        </w:rPr>
      </w:pPr>
    </w:p>
    <w:p w:rsidR="009E1DEC" w:rsidRPr="009E1DEC" w:rsidRDefault="009E1DEC" w:rsidP="009E1DEC">
      <w:pPr>
        <w:pStyle w:val="Textoindependiente"/>
        <w:ind w:firstLine="708"/>
        <w:rPr>
          <w:rFonts w:ascii="Calibri" w:hAnsi="Calibri" w:cs="Arial"/>
          <w:color w:val="AEAAAA" w:themeColor="background2" w:themeShade="BF"/>
          <w:sz w:val="26"/>
          <w:szCs w:val="26"/>
        </w:rPr>
      </w:pPr>
      <w:r w:rsidRPr="009E1DEC">
        <w:rPr>
          <w:rFonts w:ascii="Calibri" w:hAnsi="Calibri" w:cs="Arial"/>
          <w:color w:val="AEAAAA" w:themeColor="background2" w:themeShade="BF"/>
          <w:sz w:val="26"/>
          <w:szCs w:val="26"/>
        </w:rPr>
        <w:t xml:space="preserve">Notifíquese a las autoridades demandadas por oficio y a la parte actora personalmente. . . . . . . . . . . . . . . . . . . . . . . . . . . . . . . . . . . . . . . . . . . . . . . . . . . . . . . . </w:t>
      </w:r>
    </w:p>
    <w:p w:rsidR="009E1DEC" w:rsidRPr="00B61E60" w:rsidRDefault="009E1DEC" w:rsidP="009E1DEC">
      <w:pPr>
        <w:pStyle w:val="Textoindependiente"/>
        <w:rPr>
          <w:rFonts w:ascii="Calibri" w:hAnsi="Calibri" w:cs="Arial"/>
          <w:color w:val="AEAAAA" w:themeColor="background2" w:themeShade="BF"/>
          <w:sz w:val="20"/>
          <w:szCs w:val="20"/>
        </w:rPr>
      </w:pPr>
    </w:p>
    <w:p w:rsidR="00BB1CDE" w:rsidRDefault="00BB1CDE" w:rsidP="00BB1CDE">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590/2014-JN</w:t>
      </w:r>
    </w:p>
    <w:p w:rsidR="00BB1CDE" w:rsidRDefault="00BB1CDE" w:rsidP="009E1DEC">
      <w:pPr>
        <w:pStyle w:val="Textoindependiente"/>
        <w:rPr>
          <w:rFonts w:ascii="Calibri" w:hAnsi="Calibri" w:cs="Arial"/>
          <w:color w:val="AEAAAA" w:themeColor="background2" w:themeShade="BF"/>
          <w:sz w:val="26"/>
          <w:szCs w:val="26"/>
        </w:rPr>
      </w:pPr>
    </w:p>
    <w:p w:rsidR="009E1DEC" w:rsidRPr="009E1DEC" w:rsidRDefault="009E1DEC" w:rsidP="009E1DEC">
      <w:pPr>
        <w:pStyle w:val="Textoindependiente"/>
        <w:rPr>
          <w:rFonts w:ascii="Calibri" w:hAnsi="Calibri" w:cs="Arial"/>
          <w:b/>
          <w:bCs/>
          <w:color w:val="AEAAAA" w:themeColor="background2" w:themeShade="BF"/>
          <w:sz w:val="26"/>
          <w:szCs w:val="26"/>
        </w:rPr>
      </w:pPr>
      <w:r w:rsidRPr="009E1DEC">
        <w:rPr>
          <w:rFonts w:ascii="Calibri" w:hAnsi="Calibri" w:cs="Arial"/>
          <w:color w:val="AEAAAA" w:themeColor="background2" w:themeShade="BF"/>
          <w:sz w:val="26"/>
          <w:szCs w:val="26"/>
        </w:rPr>
        <w:tab/>
        <w:t xml:space="preserve">En su oportunidad, archívese este expediente, como asunto totalmente concluido y </w:t>
      </w:r>
      <w:r w:rsidR="00EF31DE" w:rsidRPr="009E1DEC">
        <w:rPr>
          <w:rFonts w:ascii="Calibri" w:hAnsi="Calibri" w:cs="Arial"/>
          <w:color w:val="AEAAAA" w:themeColor="background2" w:themeShade="BF"/>
          <w:sz w:val="26"/>
          <w:szCs w:val="26"/>
        </w:rPr>
        <w:t>dese</w:t>
      </w:r>
      <w:r w:rsidRPr="009E1DEC">
        <w:rPr>
          <w:rFonts w:ascii="Calibri" w:hAnsi="Calibri" w:cs="Arial"/>
          <w:color w:val="AEAAAA" w:themeColor="background2" w:themeShade="BF"/>
          <w:sz w:val="26"/>
          <w:szCs w:val="26"/>
        </w:rPr>
        <w:t xml:space="preserve"> de baja en el Libro de Registros que se lleva para tal efecto. . . . </w:t>
      </w:r>
    </w:p>
    <w:p w:rsidR="009E1DEC" w:rsidRPr="00B61E60" w:rsidRDefault="009E1DEC" w:rsidP="009E1DEC">
      <w:pPr>
        <w:pStyle w:val="Textoindependiente"/>
        <w:rPr>
          <w:rFonts w:ascii="Calibri" w:hAnsi="Calibri" w:cs="Arial"/>
          <w:color w:val="AEAAAA" w:themeColor="background2" w:themeShade="BF"/>
          <w:sz w:val="20"/>
          <w:szCs w:val="20"/>
        </w:rPr>
      </w:pPr>
    </w:p>
    <w:p w:rsidR="009E1DEC" w:rsidRDefault="009E1DEC" w:rsidP="009E1DEC">
      <w:pPr>
        <w:pStyle w:val="Textoindependiente"/>
        <w:ind w:firstLine="708"/>
        <w:rPr>
          <w:rFonts w:ascii="Calibri" w:hAnsi="Calibri"/>
          <w:color w:val="AEAAAA" w:themeColor="background2" w:themeShade="BF"/>
          <w:sz w:val="26"/>
        </w:rPr>
      </w:pPr>
      <w:r w:rsidRPr="009E1DEC">
        <w:rPr>
          <w:rFonts w:ascii="Calibri" w:hAnsi="Calibri"/>
          <w:color w:val="AEAAAA" w:themeColor="background2" w:themeShade="BF"/>
          <w:sz w:val="26"/>
        </w:rPr>
        <w:t xml:space="preserve">Así lo resolvió y firma el Licenciado </w:t>
      </w:r>
      <w:r w:rsidRPr="009E1DEC">
        <w:rPr>
          <w:rFonts w:ascii="Calibri" w:hAnsi="Calibri"/>
          <w:b/>
          <w:bCs/>
          <w:color w:val="AEAAAA" w:themeColor="background2" w:themeShade="BF"/>
          <w:sz w:val="26"/>
        </w:rPr>
        <w:t>Ernesto Alejandro Mora Álvarez</w:t>
      </w:r>
      <w:r w:rsidRPr="009E1DEC">
        <w:rPr>
          <w:rFonts w:ascii="Calibri" w:hAnsi="Calibri"/>
          <w:color w:val="AEAAAA" w:themeColor="background2" w:themeShade="BF"/>
          <w:sz w:val="26"/>
        </w:rPr>
        <w:t xml:space="preserve">, Juez Segundo Administrativo Municipal de León, Guanajuato, quien actúa asistido en forma legal con Secretaria de Estudio y Cuenta, Licenciada </w:t>
      </w:r>
      <w:r w:rsidRPr="009E1DEC">
        <w:rPr>
          <w:rFonts w:ascii="Calibri" w:hAnsi="Calibri"/>
          <w:b/>
          <w:bCs/>
          <w:color w:val="AEAAAA" w:themeColor="background2" w:themeShade="BF"/>
          <w:sz w:val="26"/>
        </w:rPr>
        <w:t>María del Rocío Villanueva Sánchez</w:t>
      </w:r>
      <w:r w:rsidRPr="009E1DEC">
        <w:rPr>
          <w:rFonts w:ascii="Calibri" w:hAnsi="Calibri"/>
          <w:color w:val="AEAAAA" w:themeColor="background2" w:themeShade="BF"/>
          <w:sz w:val="26"/>
        </w:rPr>
        <w:t xml:space="preserve">, quien da fe. . . . . . . . . . . . . . . . . . . . . . . . . . . . . . . . . . . . . . . . . . </w:t>
      </w: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Default="0058642A" w:rsidP="009E1DEC">
      <w:pPr>
        <w:pStyle w:val="Textoindependiente"/>
        <w:ind w:firstLine="708"/>
        <w:rPr>
          <w:rFonts w:ascii="Calibri" w:hAnsi="Calibri"/>
          <w:color w:val="AEAAAA" w:themeColor="background2" w:themeShade="BF"/>
          <w:sz w:val="26"/>
        </w:rPr>
      </w:pPr>
    </w:p>
    <w:p w:rsidR="0058642A" w:rsidRPr="00594455" w:rsidRDefault="0058642A" w:rsidP="0058642A">
      <w:pPr>
        <w:pStyle w:val="Textoindependiente"/>
        <w:ind w:firstLine="708"/>
        <w:rPr>
          <w:rFonts w:ascii="Calibri" w:hAnsi="Calibri" w:cs="Arial"/>
          <w:b/>
          <w:color w:val="AEAAAA" w:themeColor="background2" w:themeShade="BF"/>
          <w:sz w:val="26"/>
          <w:szCs w:val="27"/>
        </w:rPr>
      </w:pPr>
      <w:r w:rsidRPr="00594455">
        <w:rPr>
          <w:rFonts w:ascii="Calibri" w:hAnsi="Calibri"/>
          <w:b/>
          <w:color w:val="AEAAAA" w:themeColor="background2" w:themeShade="BF"/>
        </w:rPr>
        <w:t>LA PRESENTE FOJA FORMA PARTE DE LA SENTENCIA DICTADA EL DÍA 29 VEINTINUEVE DE JUNIO DEL AÑO 2016 DOS MIL DIECISÉIS, EN EL PROCESO ADMINISTRATIVO CON NÚMERO 5</w:t>
      </w:r>
      <w:r>
        <w:rPr>
          <w:rFonts w:ascii="Calibri" w:hAnsi="Calibri"/>
          <w:b/>
          <w:color w:val="AEAAAA" w:themeColor="background2" w:themeShade="BF"/>
        </w:rPr>
        <w:t>9</w:t>
      </w:r>
      <w:r w:rsidRPr="00594455">
        <w:rPr>
          <w:rFonts w:ascii="Calibri" w:hAnsi="Calibri"/>
          <w:b/>
          <w:color w:val="AEAAAA" w:themeColor="background2" w:themeShade="BF"/>
        </w:rPr>
        <w:t xml:space="preserve">0/2014-JN. </w:t>
      </w:r>
      <w:r w:rsidRPr="00594455">
        <w:rPr>
          <w:rFonts w:ascii="Calibri" w:hAnsi="Calibri" w:cs="Arial"/>
          <w:b/>
          <w:color w:val="AEAAAA" w:themeColor="background2" w:themeShade="BF"/>
          <w:sz w:val="26"/>
          <w:szCs w:val="27"/>
        </w:rPr>
        <w:t xml:space="preserve">. . . . . . . . . . . . . . . . . . . . . . . . . . . . . </w:t>
      </w:r>
      <w:r>
        <w:rPr>
          <w:rFonts w:ascii="Calibri" w:hAnsi="Calibri" w:cs="Arial"/>
          <w:b/>
          <w:color w:val="AEAAAA" w:themeColor="background2" w:themeShade="BF"/>
          <w:sz w:val="26"/>
          <w:szCs w:val="27"/>
        </w:rPr>
        <w:t xml:space="preserve">. </w:t>
      </w:r>
    </w:p>
    <w:p w:rsidR="0058642A" w:rsidRPr="009E1DEC" w:rsidRDefault="0058642A" w:rsidP="009E1DEC">
      <w:pPr>
        <w:pStyle w:val="Textoindependiente"/>
        <w:ind w:firstLine="708"/>
        <w:rPr>
          <w:rFonts w:ascii="Calibri" w:hAnsi="Calibri"/>
          <w:color w:val="AEAAAA" w:themeColor="background2" w:themeShade="BF"/>
          <w:sz w:val="26"/>
        </w:rPr>
      </w:pPr>
    </w:p>
    <w:sectPr w:rsidR="0058642A" w:rsidRPr="009E1DEC" w:rsidSect="00255E4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8E" w:rsidRDefault="0001478E">
      <w:r>
        <w:separator/>
      </w:r>
    </w:p>
  </w:endnote>
  <w:endnote w:type="continuationSeparator" w:id="0">
    <w:p w:rsidR="0001478E" w:rsidRDefault="0001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8E" w:rsidRDefault="0001478E">
      <w:r>
        <w:separator/>
      </w:r>
    </w:p>
  </w:footnote>
  <w:footnote w:type="continuationSeparator" w:id="0">
    <w:p w:rsidR="0001478E" w:rsidRDefault="00014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3278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3E60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3278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60FD">
      <w:rPr>
        <w:rStyle w:val="Nmerodepgina"/>
        <w:noProof/>
      </w:rPr>
      <w:t>8</w:t>
    </w:r>
    <w:r>
      <w:rPr>
        <w:rStyle w:val="Nmerodepgina"/>
      </w:rPr>
      <w:fldChar w:fldCharType="end"/>
    </w:r>
  </w:p>
  <w:p w:rsidR="0009425A" w:rsidRDefault="003E60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EC"/>
    <w:rsid w:val="00005EF0"/>
    <w:rsid w:val="00007D3E"/>
    <w:rsid w:val="000118DF"/>
    <w:rsid w:val="0001478E"/>
    <w:rsid w:val="00035B2D"/>
    <w:rsid w:val="000472D4"/>
    <w:rsid w:val="00085290"/>
    <w:rsid w:val="00086ACD"/>
    <w:rsid w:val="00097835"/>
    <w:rsid w:val="000B48E5"/>
    <w:rsid w:val="000B7ECD"/>
    <w:rsid w:val="000F3E0E"/>
    <w:rsid w:val="001205B0"/>
    <w:rsid w:val="00147032"/>
    <w:rsid w:val="00167B3D"/>
    <w:rsid w:val="001870CE"/>
    <w:rsid w:val="0019439D"/>
    <w:rsid w:val="0019468E"/>
    <w:rsid w:val="00207DF1"/>
    <w:rsid w:val="00216EA0"/>
    <w:rsid w:val="00244FA3"/>
    <w:rsid w:val="00255E40"/>
    <w:rsid w:val="002875BB"/>
    <w:rsid w:val="002A36E1"/>
    <w:rsid w:val="002B1898"/>
    <w:rsid w:val="002C627F"/>
    <w:rsid w:val="002D747D"/>
    <w:rsid w:val="00305A54"/>
    <w:rsid w:val="00327866"/>
    <w:rsid w:val="00331DBF"/>
    <w:rsid w:val="00354197"/>
    <w:rsid w:val="003A2FE3"/>
    <w:rsid w:val="003E19B4"/>
    <w:rsid w:val="003E60FD"/>
    <w:rsid w:val="003F4B99"/>
    <w:rsid w:val="0041065B"/>
    <w:rsid w:val="004260AC"/>
    <w:rsid w:val="004469C5"/>
    <w:rsid w:val="00494EE7"/>
    <w:rsid w:val="004A5185"/>
    <w:rsid w:val="004C620F"/>
    <w:rsid w:val="004E143D"/>
    <w:rsid w:val="005028B6"/>
    <w:rsid w:val="005047E9"/>
    <w:rsid w:val="00524B5B"/>
    <w:rsid w:val="005310A8"/>
    <w:rsid w:val="005401F1"/>
    <w:rsid w:val="00563935"/>
    <w:rsid w:val="00577AE7"/>
    <w:rsid w:val="0058642A"/>
    <w:rsid w:val="005A7F52"/>
    <w:rsid w:val="005B7DDF"/>
    <w:rsid w:val="005C5177"/>
    <w:rsid w:val="00617714"/>
    <w:rsid w:val="00634008"/>
    <w:rsid w:val="00651514"/>
    <w:rsid w:val="00671AB4"/>
    <w:rsid w:val="00672148"/>
    <w:rsid w:val="006729D5"/>
    <w:rsid w:val="00692CED"/>
    <w:rsid w:val="006C0EE6"/>
    <w:rsid w:val="00701E23"/>
    <w:rsid w:val="00793AAC"/>
    <w:rsid w:val="007B05B0"/>
    <w:rsid w:val="007B435C"/>
    <w:rsid w:val="008927F9"/>
    <w:rsid w:val="008B3FBB"/>
    <w:rsid w:val="008B6C0C"/>
    <w:rsid w:val="008F617B"/>
    <w:rsid w:val="00940A34"/>
    <w:rsid w:val="00967DFD"/>
    <w:rsid w:val="009870D6"/>
    <w:rsid w:val="009A1725"/>
    <w:rsid w:val="009E1DEC"/>
    <w:rsid w:val="00A17AF6"/>
    <w:rsid w:val="00A30ED1"/>
    <w:rsid w:val="00A400F0"/>
    <w:rsid w:val="00A427EF"/>
    <w:rsid w:val="00AA36DC"/>
    <w:rsid w:val="00AD4C45"/>
    <w:rsid w:val="00B267E1"/>
    <w:rsid w:val="00B61E60"/>
    <w:rsid w:val="00BB164D"/>
    <w:rsid w:val="00BB1CDE"/>
    <w:rsid w:val="00BD6CE5"/>
    <w:rsid w:val="00C1398F"/>
    <w:rsid w:val="00C837B5"/>
    <w:rsid w:val="00CC17CE"/>
    <w:rsid w:val="00D4032C"/>
    <w:rsid w:val="00D809C1"/>
    <w:rsid w:val="00D879F9"/>
    <w:rsid w:val="00DB1EE0"/>
    <w:rsid w:val="00DF519F"/>
    <w:rsid w:val="00E06D35"/>
    <w:rsid w:val="00E20D39"/>
    <w:rsid w:val="00E24F92"/>
    <w:rsid w:val="00EB27F7"/>
    <w:rsid w:val="00EF31DE"/>
    <w:rsid w:val="00F156E1"/>
    <w:rsid w:val="00F47C21"/>
    <w:rsid w:val="00F6653E"/>
    <w:rsid w:val="00F86227"/>
    <w:rsid w:val="00FA54B4"/>
    <w:rsid w:val="00FE08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7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E1DE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1DE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E1DEC"/>
    <w:pPr>
      <w:jc w:val="both"/>
    </w:pPr>
    <w:rPr>
      <w:lang w:val="es-MX"/>
    </w:rPr>
  </w:style>
  <w:style w:type="character" w:customStyle="1" w:styleId="TextoindependienteCar">
    <w:name w:val="Texto independiente Car"/>
    <w:basedOn w:val="Fuentedeprrafopredeter"/>
    <w:link w:val="Textoindependiente"/>
    <w:rsid w:val="009E1DE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9E1DE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E1DE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E1DE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E1DEC"/>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E1DEC"/>
  </w:style>
  <w:style w:type="paragraph" w:styleId="Encabezado">
    <w:name w:val="header"/>
    <w:basedOn w:val="Normal"/>
    <w:link w:val="EncabezadoCar"/>
    <w:semiHidden/>
    <w:rsid w:val="009E1DEC"/>
    <w:pPr>
      <w:tabs>
        <w:tab w:val="center" w:pos="4419"/>
        <w:tab w:val="right" w:pos="8838"/>
      </w:tabs>
    </w:pPr>
    <w:rPr>
      <w:lang w:val="es-MX"/>
    </w:rPr>
  </w:style>
  <w:style w:type="character" w:customStyle="1" w:styleId="EncabezadoCar">
    <w:name w:val="Encabezado Car"/>
    <w:basedOn w:val="Fuentedeprrafopredeter"/>
    <w:link w:val="Encabezado"/>
    <w:semiHidden/>
    <w:rsid w:val="009E1DEC"/>
    <w:rPr>
      <w:rFonts w:ascii="Times New Roman" w:eastAsia="Times New Roman" w:hAnsi="Times New Roman" w:cs="Times New Roman"/>
      <w:sz w:val="24"/>
      <w:szCs w:val="24"/>
      <w:lang w:eastAsia="es-ES"/>
    </w:rPr>
  </w:style>
  <w:style w:type="paragraph" w:customStyle="1" w:styleId="Normal0">
    <w:name w:val="[Normal]"/>
    <w:rsid w:val="009E1DEC"/>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17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E1DEC"/>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1DE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9E1DEC"/>
    <w:pPr>
      <w:jc w:val="both"/>
    </w:pPr>
    <w:rPr>
      <w:lang w:val="es-MX"/>
    </w:rPr>
  </w:style>
  <w:style w:type="character" w:customStyle="1" w:styleId="TextoindependienteCar">
    <w:name w:val="Texto independiente Car"/>
    <w:basedOn w:val="Fuentedeprrafopredeter"/>
    <w:link w:val="Textoindependiente"/>
    <w:rsid w:val="009E1DEC"/>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9E1DEC"/>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9E1DEC"/>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9E1DE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9E1DEC"/>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9E1DEC"/>
  </w:style>
  <w:style w:type="paragraph" w:styleId="Encabezado">
    <w:name w:val="header"/>
    <w:basedOn w:val="Normal"/>
    <w:link w:val="EncabezadoCar"/>
    <w:semiHidden/>
    <w:rsid w:val="009E1DEC"/>
    <w:pPr>
      <w:tabs>
        <w:tab w:val="center" w:pos="4419"/>
        <w:tab w:val="right" w:pos="8838"/>
      </w:tabs>
    </w:pPr>
    <w:rPr>
      <w:lang w:val="es-MX"/>
    </w:rPr>
  </w:style>
  <w:style w:type="character" w:customStyle="1" w:styleId="EncabezadoCar">
    <w:name w:val="Encabezado Car"/>
    <w:basedOn w:val="Fuentedeprrafopredeter"/>
    <w:link w:val="Encabezado"/>
    <w:semiHidden/>
    <w:rsid w:val="009E1DEC"/>
    <w:rPr>
      <w:rFonts w:ascii="Times New Roman" w:eastAsia="Times New Roman" w:hAnsi="Times New Roman" w:cs="Times New Roman"/>
      <w:sz w:val="24"/>
      <w:szCs w:val="24"/>
      <w:lang w:eastAsia="es-ES"/>
    </w:rPr>
  </w:style>
  <w:style w:type="paragraph" w:customStyle="1" w:styleId="Normal0">
    <w:name w:val="[Normal]"/>
    <w:rsid w:val="009E1DEC"/>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468">
      <w:bodyDiv w:val="1"/>
      <w:marLeft w:val="0"/>
      <w:marRight w:val="0"/>
      <w:marTop w:val="0"/>
      <w:marBottom w:val="0"/>
      <w:divBdr>
        <w:top w:val="none" w:sz="0" w:space="0" w:color="auto"/>
        <w:left w:val="none" w:sz="0" w:space="0" w:color="auto"/>
        <w:bottom w:val="none" w:sz="0" w:space="0" w:color="auto"/>
        <w:right w:val="none" w:sz="0" w:space="0" w:color="auto"/>
      </w:divBdr>
    </w:div>
    <w:div w:id="391582868">
      <w:bodyDiv w:val="1"/>
      <w:marLeft w:val="0"/>
      <w:marRight w:val="0"/>
      <w:marTop w:val="0"/>
      <w:marBottom w:val="0"/>
      <w:divBdr>
        <w:top w:val="none" w:sz="0" w:space="0" w:color="auto"/>
        <w:left w:val="none" w:sz="0" w:space="0" w:color="auto"/>
        <w:bottom w:val="none" w:sz="0" w:space="0" w:color="auto"/>
        <w:right w:val="none" w:sz="0" w:space="0" w:color="auto"/>
      </w:divBdr>
    </w:div>
    <w:div w:id="1065878775">
      <w:bodyDiv w:val="1"/>
      <w:marLeft w:val="0"/>
      <w:marRight w:val="0"/>
      <w:marTop w:val="0"/>
      <w:marBottom w:val="0"/>
      <w:divBdr>
        <w:top w:val="none" w:sz="0" w:space="0" w:color="auto"/>
        <w:left w:val="none" w:sz="0" w:space="0" w:color="auto"/>
        <w:bottom w:val="none" w:sz="0" w:space="0" w:color="auto"/>
        <w:right w:val="none" w:sz="0" w:space="0" w:color="auto"/>
      </w:divBdr>
    </w:div>
    <w:div w:id="1306281330">
      <w:bodyDiv w:val="1"/>
      <w:marLeft w:val="0"/>
      <w:marRight w:val="0"/>
      <w:marTop w:val="0"/>
      <w:marBottom w:val="0"/>
      <w:divBdr>
        <w:top w:val="none" w:sz="0" w:space="0" w:color="auto"/>
        <w:left w:val="none" w:sz="0" w:space="0" w:color="auto"/>
        <w:bottom w:val="none" w:sz="0" w:space="0" w:color="auto"/>
        <w:right w:val="none" w:sz="0" w:space="0" w:color="auto"/>
      </w:divBdr>
    </w:div>
    <w:div w:id="1602103866">
      <w:bodyDiv w:val="1"/>
      <w:marLeft w:val="0"/>
      <w:marRight w:val="0"/>
      <w:marTop w:val="0"/>
      <w:marBottom w:val="0"/>
      <w:divBdr>
        <w:top w:val="none" w:sz="0" w:space="0" w:color="auto"/>
        <w:left w:val="none" w:sz="0" w:space="0" w:color="auto"/>
        <w:bottom w:val="none" w:sz="0" w:space="0" w:color="auto"/>
        <w:right w:val="none" w:sz="0" w:space="0" w:color="auto"/>
      </w:divBdr>
    </w:div>
    <w:div w:id="1770196282">
      <w:bodyDiv w:val="1"/>
      <w:marLeft w:val="0"/>
      <w:marRight w:val="0"/>
      <w:marTop w:val="0"/>
      <w:marBottom w:val="0"/>
      <w:divBdr>
        <w:top w:val="none" w:sz="0" w:space="0" w:color="auto"/>
        <w:left w:val="none" w:sz="0" w:space="0" w:color="auto"/>
        <w:bottom w:val="none" w:sz="0" w:space="0" w:color="auto"/>
        <w:right w:val="none" w:sz="0" w:space="0" w:color="auto"/>
      </w:divBdr>
    </w:div>
    <w:div w:id="1959484586">
      <w:bodyDiv w:val="1"/>
      <w:marLeft w:val="0"/>
      <w:marRight w:val="0"/>
      <w:marTop w:val="0"/>
      <w:marBottom w:val="0"/>
      <w:divBdr>
        <w:top w:val="none" w:sz="0" w:space="0" w:color="auto"/>
        <w:left w:val="none" w:sz="0" w:space="0" w:color="auto"/>
        <w:bottom w:val="none" w:sz="0" w:space="0" w:color="auto"/>
        <w:right w:val="none" w:sz="0" w:space="0" w:color="auto"/>
      </w:divBdr>
    </w:div>
    <w:div w:id="20533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3357</Words>
  <Characters>18468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2016-08-30T19:54:00Z</dcterms:created>
  <dcterms:modified xsi:type="dcterms:W3CDTF">2016-08-30T19:54:00Z</dcterms:modified>
</cp:coreProperties>
</file>